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4F4F" w:rsidR="007547E0" w:rsidP="007547E0" w:rsidRDefault="007547E0" w14:paraId="3702BCAB" w14:textId="2BE02F87">
      <w:pPr>
        <w:pStyle w:val="TITLECAPS"/>
        <w:rPr>
          <w:color w:val="auto"/>
        </w:rPr>
      </w:pPr>
      <w:r>
        <w:rPr>
          <w:color w:val="auto"/>
        </w:rPr>
        <w:t xml:space="preserve">Fluke CM&amp;A EMEA Eintausch 2026</w:t>
      </w:r>
    </w:p>
    <w:p w:rsidRPr="00CB4F4F" w:rsidR="007547E0" w:rsidP="007547E0" w:rsidRDefault="007547E0" w14:paraId="7F0CB3AD" w14:textId="77777777">
      <w:pPr>
        <w:spacing w:after="240"/>
        <w:rPr>
          <w:b/>
          <w:sz w:val="28"/>
          <w:szCs w:val="28"/>
          <w:rFonts w:ascii="Cambria" w:hAnsi="Cambria"/>
        </w:rPr>
      </w:pPr>
      <w:r w:rsidRPr="0242D185" w:rsidR="7A25B59D">
        <w:rPr>
          <w:rFonts w:ascii="Cambria" w:hAnsi="Cambria"/>
          <w:b w:val="1"/>
          <w:bCs w:val="1"/>
          <w:sz w:val="28"/>
          <w:szCs w:val="28"/>
        </w:rPr>
        <w:t>Allgemeine Geschäftsbedingungen</w:t>
      </w:r>
    </w:p>
    <w:p w:rsidR="0242D185" w:rsidP="0242D185" w:rsidRDefault="0242D185" w14:paraId="26BD2D0B" w14:textId="74D14976">
      <w:pPr>
        <w:pStyle w:val="OutlineL1"/>
        <w:ind w:left="420"/>
        <w:rPr/>
      </w:pPr>
      <w:r w:rsidRPr="0242D185" w:rsidR="0242D185">
        <w:rPr>
          <w:rFonts w:ascii="Calibri" w:hAnsi="Calibri" w:eastAsia="Calibri" w:cs="Calibri"/>
          <w:b w:val="1"/>
          <w:bCs w:val="1"/>
          <w:sz w:val="20"/>
          <w:szCs w:val="20"/>
        </w:rPr>
        <w:t>Überblick</w:t>
      </w:r>
      <w:r w:rsidRPr="0242D185" w:rsidR="0242D185">
        <w:rPr>
          <w:rFonts w:ascii="Calibri" w:hAnsi="Calibri" w:eastAsia="Calibri" w:cs="Calibri"/>
          <w:sz w:val="20"/>
          <w:szCs w:val="20"/>
        </w:rPr>
        <w:t>: Im Rahmen dieses Eintauschprogramms (das „</w:t>
      </w:r>
      <w:r w:rsidRPr="0242D185" w:rsidR="0242D185">
        <w:rPr>
          <w:rFonts w:ascii="Calibri" w:hAnsi="Calibri" w:eastAsia="Calibri" w:cs="Calibri"/>
          <w:b w:val="1"/>
          <w:bCs w:val="1"/>
          <w:sz w:val="20"/>
          <w:szCs w:val="20"/>
        </w:rPr>
        <w:t>Programm</w:t>
      </w:r>
      <w:r w:rsidRPr="0242D185" w:rsidR="0242D185">
        <w:rPr>
          <w:rFonts w:ascii="Calibri" w:hAnsi="Calibri" w:eastAsia="Calibri" w:cs="Calibri"/>
          <w:sz w:val="20"/>
          <w:szCs w:val="20"/>
        </w:rPr>
        <w:t>“) können berechtigte Kunden von Fluke Condition Monitoring &amp; Alignment während des „Programmzeitraums“ (definiert in Abschnitt 4 unten) die in Abschnitt 5 unten aufgeführten Produkte von PRÜFTECHNIK und Fluke Reliability oder vergleichbare Produkte von Drittanbietern („</w:t>
      </w:r>
      <w:r w:rsidRPr="0242D185" w:rsidR="0242D185">
        <w:rPr>
          <w:rFonts w:ascii="Calibri" w:hAnsi="Calibri" w:eastAsia="Calibri" w:cs="Calibri"/>
          <w:b w:val="1"/>
          <w:bCs w:val="1"/>
          <w:sz w:val="20"/>
          <w:szCs w:val="20"/>
        </w:rPr>
        <w:t>berechtigte Produkte</w:t>
      </w:r>
      <w:r w:rsidRPr="0242D185" w:rsidR="0242D185">
        <w:rPr>
          <w:rFonts w:ascii="Calibri" w:hAnsi="Calibri" w:eastAsia="Calibri" w:cs="Calibri"/>
          <w:sz w:val="20"/>
          <w:szCs w:val="20"/>
        </w:rPr>
        <w:t>“) eintauschen, um einen exklusiven Rabatt auf den jeweils geltenden Listenpreis des Sponsors oder Vertriebspartners zu erhalten, wenn sie neue, in Abschnitt 5 aufgeführte Geräte von Fluke Condition Monitoring &amp; Alignment direkt von einem Sponsor dieses Programms (definiert in Abschnitt 9) oder dem lokalen Fluke Vertriebspartner erwerben.</w:t>
      </w:r>
    </w:p>
    <w:p w:rsidRPr="00DF1A26" w:rsidR="007547E0" w:rsidP="007547E0" w:rsidRDefault="007547E0" w14:paraId="6A6FABD9" w14:textId="77777777">
      <w:pPr>
        <w:pStyle w:val="BodyText"/>
        <w:ind w:left="432"/>
        <w:rPr>
          <w:sz w:val="20"/>
          <w:szCs w:val="20"/>
          <w:rFonts w:asciiTheme="minorHAnsi" w:hAnsiTheme="minorHAnsi" w:cstheme="minorHAnsi"/>
        </w:rPr>
      </w:pPr>
      <w:r w:rsidRPr="0242D185" w:rsidR="7A25B59D">
        <w:rPr>
          <w:rFonts w:ascii="Calibri" w:hAnsi="Calibri" w:asciiTheme="minorAscii" w:hAnsiTheme="minorAscii"/>
          <w:sz w:val="20"/>
          <w:szCs w:val="20"/>
        </w:rPr>
        <w:t>Der im Rahmen des Programms verfügbare Rabatt darf nicht mit anderen Angeboten kombiniert oder gegen alternative Produkte, Dienstleistungen, Bargeld oder Gutschriften eingelöst werden, es sei denn, dies ist in diesen Bedingungen ausdrücklich gestattet.</w:t>
      </w:r>
    </w:p>
    <w:p w:rsidR="0242D185" w:rsidP="0242D185" w:rsidRDefault="0242D185" w14:paraId="6A02530F" w14:textId="614A7E28">
      <w:pPr>
        <w:pStyle w:val="OutlineL1"/>
        <w:ind w:left="420"/>
        <w:rPr/>
      </w:pPr>
      <w:r w:rsidRPr="0242D185" w:rsidR="0242D185">
        <w:rPr>
          <w:rFonts w:ascii="Calibri" w:hAnsi="Calibri" w:eastAsia="Calibri" w:cs="Calibri"/>
          <w:b w:val="1"/>
          <w:bCs w:val="1"/>
          <w:sz w:val="20"/>
          <w:szCs w:val="20"/>
        </w:rPr>
        <w:t>Teilnahmeberechtigung</w:t>
      </w:r>
      <w:r w:rsidRPr="0242D185" w:rsidR="0242D185">
        <w:rPr>
          <w:rFonts w:ascii="Calibri" w:hAnsi="Calibri" w:eastAsia="Calibri" w:cs="Calibri"/>
          <w:sz w:val="20"/>
          <w:szCs w:val="20"/>
        </w:rPr>
        <w:t>. Das Programm gilt nicht in Ländern, in denen es gesetzlich verboten ist. Das Programm steht ausschließlich Endkunden mit Sitz in Vereinigtes Königreich, Dänemark, Finnland, Frankreich, Deutschland, Island, Italien, Norwegen, Polen, Portugal, Spanien, Schweden, Schweiz, Algerien, Angola, Benin, Botswana, Burkina Faso, Kamerun, Tschad, Kongo, Ägypten, Äquatorialguinea, Eswatini, Gabun, Gambia, Ghana, Elfenbeinküste, Kenia, Lesotho, Liberia, Malawi, Mali, Mauritius, Marokko, Namibia, Nigeria, Ruanda, Senegal, Seychellen, Sierra Leone, Südafrika, Tansania, Togo, Tunesien, Türkei, Uganda, Sambia, Simbabwe, Irak, Jordanien, Königreich Saudi-Arabien, Kuwait, Libyen, Oman, Katar und den Vereinigten Arabischen Emiraten offen. Wenn der Endkunde eine natürliche Person ist, muss diese mindestens 18 Jahre alt sein. Nur Kunden, die Endbenutzer sind und die berechtigten Produkte (wie in Abschnitt 5 unten definiert) für eigene Geschäftszwecke verwenden, sind zur Teilnahme am Programm berechtigt. Ungeachtet der vorstehenden Länderliste wird die Aktion nicht in Ländern oder Rechtsordnungen angeboten, in denen diese Aktion gesetzlich verboten ist, oder in Ländern, Rechtsordnungen oder Regionen, die EU- oder US-Handelssanktionen oder -beschränkungen unterliegen oder künftig unterliegen, auch wenn ein solches Land oder eine solche Rechtsordnung oben aufgeführt ist.</w:t>
      </w:r>
    </w:p>
    <w:p w:rsidR="0242D185" w:rsidP="0242D185" w:rsidRDefault="0242D185" w14:paraId="4F741B0B" w14:textId="3E3FFA77">
      <w:pPr>
        <w:pStyle w:val="OutlineL1"/>
        <w:ind w:left="420"/>
        <w:rPr/>
      </w:pPr>
      <w:r w:rsidRPr="0242D185" w:rsidR="0242D185">
        <w:rPr>
          <w:rFonts w:ascii="Calibri" w:hAnsi="Calibri" w:eastAsia="Calibri" w:cs="Calibri"/>
          <w:sz w:val="20"/>
          <w:szCs w:val="20"/>
        </w:rPr>
        <w:t>Mitarbeiter, Direktoren und leitende Angestellte des Sponsors, seiner Muttergesellschaften, verbundenen Unternehmen, Tochtergesellschaften, Vertriebspartner, Vertreter sowie deren unmittelbare Familienangehörige (Eltern, Geschwister, Kinder und Ehepartner) und im selben Haushalt lebende Personen (unabhängig davon, ob sie verwandt sind oder nicht) sind nicht zur Teilnahme am Programm berechtigt. Darüber hinaus sind Mitarbeiter, leitende Angestellte, Direktoren, Vertreter oder Beauftragte von Vertriebspartnern oder konkurrierenden Messgeräteherstellern nicht zur Teilnahme am Programm berechtigt.</w:t>
      </w:r>
    </w:p>
    <w:p w:rsidRPr="00DF1A26" w:rsidR="007547E0" w:rsidP="007547E0" w:rsidRDefault="007547E0" w14:paraId="52677448" w14:textId="77777777">
      <w:pPr>
        <w:pStyle w:val="OutlineL1"/>
        <w:tabs>
          <w:tab w:val="clear" w:pos="1008"/>
          <w:tab w:val="num" w:pos="576"/>
        </w:tabs>
        <w:ind w:left="432"/>
        <w:rPr>
          <w:sz w:val="20"/>
          <w:rFonts w:asciiTheme="minorHAnsi" w:hAnsiTheme="minorHAnsi" w:cstheme="minorHAnsi"/>
        </w:rPr>
      </w:pPr>
      <w:r>
        <w:rPr>
          <w:sz w:val="20"/>
          <w:b/>
          <w:rFonts w:asciiTheme="minorHAnsi" w:hAnsiTheme="minorHAnsi"/>
        </w:rPr>
        <w:t xml:space="preserve">Haftungsauschluss</w:t>
      </w:r>
      <w:r>
        <w:rPr>
          <w:sz w:val="20"/>
          <w:rFonts w:asciiTheme="minorHAnsi" w:hAnsiTheme="minorHAnsi"/>
        </w:rPr>
        <w:t xml:space="preserve">.</w:t>
      </w:r>
      <w:r>
        <w:rPr>
          <w:sz w:val="20"/>
          <w:rFonts w:asciiTheme="minorHAnsi" w:hAnsiTheme="minorHAnsi"/>
        </w:rPr>
        <w:t xml:space="preserve">  </w:t>
      </w:r>
      <w:r>
        <w:rPr>
          <w:sz w:val="20"/>
          <w:rFonts w:asciiTheme="minorHAnsi" w:hAnsiTheme="minorHAnsi"/>
        </w:rPr>
        <w:t xml:space="preserve">Der Sponsor und jede seiner übergeordneten Unternehmen, Tochtergesellschaften sowie deren Direktoren, Führungskräfte, Berater, Bevollmächtigte, Vertreter, Mitarbeiter und Beauftragte (gemeinsam die „</w:t>
      </w:r>
      <w:r>
        <w:rPr>
          <w:sz w:val="20"/>
          <w:rStyle w:val="Emphasis"/>
          <w:rFonts w:asciiTheme="minorHAnsi" w:hAnsiTheme="minorHAnsi"/>
        </w:rPr>
        <w:t xml:space="preserve">freigestellten Parteien</w:t>
      </w:r>
      <w:r>
        <w:rPr>
          <w:sz w:val="20"/>
          <w:rFonts w:asciiTheme="minorHAnsi" w:hAnsiTheme="minorHAnsi"/>
        </w:rPr>
        <w:t xml:space="preserve">“) haften nicht für:</w:t>
      </w:r>
      <w:r>
        <w:rPr>
          <w:sz w:val="20"/>
          <w:rFonts w:asciiTheme="minorHAnsi" w:hAnsiTheme="minorHAnsi"/>
        </w:rPr>
        <w:t xml:space="preserve"> </w:t>
      </w:r>
      <w:r>
        <w:rPr>
          <w:sz w:val="20"/>
          <w:rFonts w:asciiTheme="minorHAnsi" w:hAnsiTheme="minorHAnsi"/>
        </w:rPr>
        <w:t xml:space="preserve">(a) verspätete, verlorene, fehlgeleitete, unvollständige, verfälschte oder beschädigte Übermittlungen oder Kaufanfragen; (b) Fehlfunktionen oder Ausfälle von Telefon-, Elektronik-, Hardware-, Software-, Netzwerk-, Internet- oder sonstigen Computer- oder Kommunikationssystemen, die außerhalb der zumutbaren Kontrolle des Sponsors oder der freigestellten Parteien liegen; (c) Störungen des Programms sowie Verletzungen, Verluste oder Schäden, die durch Ereignisse außerhalb der zumutbaren Kontrolle des Sponsors oder durch unbefugte Eingriffe Dritter verursacht werden; oder (d) Druck- oder Satzfehler in Materialien im Zusammenhang mit dem Programm.</w:t>
      </w:r>
    </w:p>
    <w:p w:rsidRPr="003956A1" w:rsidR="007547E0" w:rsidP="007547E0" w:rsidRDefault="007547E0" w14:paraId="65E4BCFB" w14:textId="3C6ADF72">
      <w:pPr>
        <w:pStyle w:val="OutlineL1"/>
        <w:tabs>
          <w:tab w:val="clear" w:pos="1008"/>
          <w:tab w:val="num" w:pos="576"/>
        </w:tabs>
        <w:ind w:left="432"/>
        <w:rPr>
          <w:sz w:val="20"/>
          <w:rFonts w:asciiTheme="minorHAnsi" w:hAnsiTheme="minorHAnsi" w:cstheme="minorHAnsi"/>
        </w:rPr>
      </w:pPr>
      <w:r>
        <w:rPr>
          <w:sz w:val="20"/>
          <w:b/>
          <w:rFonts w:asciiTheme="minorHAnsi" w:hAnsiTheme="minorHAnsi"/>
        </w:rPr>
        <w:t xml:space="preserve">Programmzeitraum</w:t>
      </w:r>
      <w:r>
        <w:rPr>
          <w:sz w:val="20"/>
          <w:rFonts w:asciiTheme="minorHAnsi" w:hAnsiTheme="minorHAnsi"/>
        </w:rPr>
        <w:t xml:space="preserve">.</w:t>
      </w:r>
      <w:r>
        <w:rPr>
          <w:sz w:val="20"/>
          <w:rFonts w:asciiTheme="minorHAnsi" w:hAnsiTheme="minorHAnsi"/>
        </w:rPr>
        <w:t xml:space="preserve">  </w:t>
      </w:r>
      <w:r>
        <w:rPr>
          <w:sz w:val="20"/>
          <w:rFonts w:asciiTheme="minorHAnsi" w:hAnsiTheme="minorHAnsi"/>
        </w:rPr>
        <w:t xml:space="preserve">Das Programm beginnt am 1. September und endet am 15. Dezember 2026 (der „</w:t>
      </w:r>
      <w:r>
        <w:rPr>
          <w:sz w:val="20"/>
          <w:rStyle w:val="Emphasis"/>
          <w:rFonts w:asciiTheme="minorHAnsi" w:hAnsiTheme="minorHAnsi"/>
        </w:rPr>
        <w:t xml:space="preserve">Programmzeitraum</w:t>
      </w:r>
      <w:r>
        <w:rPr>
          <w:sz w:val="20"/>
          <w:rFonts w:asciiTheme="minorHAnsi" w:hAnsiTheme="minorHAnsi"/>
        </w:rPr>
        <w:t xml:space="preserve">.“)</w:t>
      </w:r>
    </w:p>
    <w:p w:rsidRPr="00DF1A26" w:rsidR="007547E0" w:rsidP="007547E0" w:rsidRDefault="007547E0" w14:paraId="1332C653" w14:textId="77777777">
      <w:pPr>
        <w:pStyle w:val="OutlineL1"/>
        <w:keepNext/>
        <w:tabs>
          <w:tab w:val="clear" w:pos="1008"/>
          <w:tab w:val="num" w:pos="576"/>
        </w:tabs>
        <w:ind w:left="432"/>
        <w:rPr>
          <w:sz w:val="20"/>
          <w:rFonts w:asciiTheme="minorHAnsi" w:hAnsiTheme="minorHAnsi" w:cstheme="minorHAnsi"/>
        </w:rPr>
      </w:pPr>
      <w:r>
        <w:rPr>
          <w:sz w:val="20"/>
          <w:b/>
          <w:rFonts w:asciiTheme="minorHAnsi" w:hAnsiTheme="minorHAnsi"/>
        </w:rPr>
        <w:t xml:space="preserve">Programmdetails</w:t>
      </w:r>
      <w:r>
        <w:rPr>
          <w:sz w:val="20"/>
          <w:rFonts w:asciiTheme="minorHAnsi" w:hAnsiTheme="minorHAnsi"/>
        </w:rPr>
        <w:t xml:space="preserve">.</w:t>
      </w:r>
      <w:r>
        <w:rPr>
          <w:sz w:val="20"/>
          <w:rFonts w:asciiTheme="minorHAnsi" w:hAnsiTheme="minorHAnsi"/>
        </w:rPr>
        <w:t xml:space="preserve">  </w:t>
      </w:r>
    </w:p>
    <w:p w:rsidRPr="00DF1A26" w:rsidR="007547E0" w:rsidP="007547E0" w:rsidRDefault="007547E0" w14:paraId="1DEF092A" w14:textId="77777777">
      <w:pPr>
        <w:pStyle w:val="BodyText"/>
        <w:ind w:left="432"/>
        <w:rPr>
          <w:sz w:val="20"/>
          <w:szCs w:val="20"/>
          <w:rFonts w:asciiTheme="minorHAnsi" w:hAnsiTheme="minorHAnsi" w:cstheme="minorHAnsi"/>
        </w:rPr>
      </w:pPr>
      <w:r>
        <w:rPr>
          <w:sz w:val="20"/>
          <w:rFonts w:asciiTheme="minorHAnsi" w:hAnsiTheme="minorHAnsi"/>
        </w:rPr>
        <w:t xml:space="preserve">Die Produkte in der folgenden Tabelle können im Rahmen des Programms gegen die angegebenen Einsparungen vom aktuellen Listenpreis eingetauscht werden:</w:t>
      </w:r>
      <w:r>
        <w:rPr>
          <w:sz w:val="20"/>
          <w:rFonts w:asciiTheme="minorHAnsi" w:hAnsiTheme="minorHAnsi"/>
        </w:rPr>
        <w:t xml:space="preserve"> </w:t>
      </w:r>
    </w:p>
    <w:tbl>
      <w:tblPr>
        <w:tblStyle w:val="TableGrid"/>
        <w:tblW w:w="9072" w:type="dxa"/>
        <w:tblInd w:w="421" w:type="dxa"/>
        <w:tblLook w:val="04A0" w:firstRow="1" w:lastRow="0" w:firstColumn="1" w:lastColumn="0" w:noHBand="0" w:noVBand="1"/>
      </w:tblPr>
      <w:tblGrid>
        <w:gridCol w:w="3624"/>
        <w:gridCol w:w="3038"/>
        <w:gridCol w:w="2410"/>
      </w:tblGrid>
      <w:tr w:rsidRPr="00DF1A26" w:rsidR="007547E0" w:rsidTr="0242D185" w14:paraId="6541298E" w14:textId="77777777">
        <w:trPr>
          <w:trHeight w:val="503"/>
        </w:trPr>
        <w:tc>
          <w:tcPr>
            <w:tcW w:w="3624" w:type="dxa"/>
            <w:tcMar/>
          </w:tcPr>
          <w:p w:rsidRPr="00DF1A26" w:rsidR="007547E0" w:rsidP="007547E0" w:rsidRDefault="007547E0" w14:paraId="763F4DC5" w14:textId="77777777">
            <w:pPr>
              <w:rPr>
                <w:b/>
                <w:sz w:val="20"/>
                <w:szCs w:val="20"/>
                <w:rFonts w:asciiTheme="minorHAnsi" w:hAnsiTheme="minorHAnsi" w:cstheme="minorHAnsi"/>
              </w:rPr>
            </w:pPr>
            <w:r>
              <w:rPr>
                <w:sz w:val="20"/>
                <w:b/>
                <w:rFonts w:asciiTheme="minorHAnsi" w:hAnsiTheme="minorHAnsi"/>
              </w:rPr>
              <w:t xml:space="preserve">Tauschen Sie dieses Produkt ein</w:t>
            </w:r>
          </w:p>
          <w:p w:rsidRPr="00DF1A26" w:rsidR="007547E0" w:rsidP="007547E0" w:rsidRDefault="007547E0" w14:paraId="759783A3" w14:textId="77777777">
            <w:pPr>
              <w:rPr>
                <w:b/>
                <w:sz w:val="20"/>
                <w:szCs w:val="20"/>
                <w:rFonts w:asciiTheme="minorHAnsi" w:hAnsiTheme="minorHAnsi" w:cstheme="minorHAnsi"/>
              </w:rPr>
            </w:pPr>
            <w:r>
              <w:rPr>
                <w:sz w:val="20"/>
                <w:b/>
                <w:rFonts w:asciiTheme="minorHAnsi" w:hAnsiTheme="minorHAnsi"/>
              </w:rPr>
              <w:t xml:space="preserve">(„Berechtigte Produkte“)</w:t>
            </w:r>
          </w:p>
        </w:tc>
        <w:tc>
          <w:tcPr>
            <w:tcW w:w="3038" w:type="dxa"/>
            <w:tcMar/>
          </w:tcPr>
          <w:p w:rsidRPr="00DF1A26" w:rsidR="007547E0" w:rsidP="007547E0" w:rsidRDefault="007547E0" w14:paraId="50A1F4D5" w14:textId="77777777">
            <w:pPr>
              <w:rPr>
                <w:b/>
                <w:sz w:val="20"/>
                <w:szCs w:val="20"/>
                <w:rFonts w:asciiTheme="minorHAnsi" w:hAnsiTheme="minorHAnsi" w:cstheme="minorHAnsi"/>
              </w:rPr>
            </w:pPr>
            <w:r>
              <w:rPr>
                <w:sz w:val="20"/>
                <w:b/>
                <w:rFonts w:asciiTheme="minorHAnsi" w:hAnsiTheme="minorHAnsi"/>
              </w:rPr>
              <w:t xml:space="preserve">Kaufen Sie dieses Produkt</w:t>
            </w:r>
          </w:p>
          <w:p w:rsidRPr="00DF1A26" w:rsidR="007547E0" w:rsidP="007547E0" w:rsidRDefault="007547E0" w14:paraId="703A6984" w14:textId="77777777">
            <w:pPr>
              <w:rPr>
                <w:rFonts w:asciiTheme="minorHAnsi" w:hAnsiTheme="minorHAnsi" w:cstheme="minorHAnsi"/>
                <w:b/>
                <w:sz w:val="20"/>
                <w:szCs w:val="20"/>
              </w:rPr>
            </w:pPr>
          </w:p>
        </w:tc>
        <w:tc>
          <w:tcPr>
            <w:tcW w:w="2410" w:type="dxa"/>
            <w:tcMar/>
          </w:tcPr>
          <w:p w:rsidRPr="00DF1A26" w:rsidR="007547E0" w:rsidP="007547E0" w:rsidRDefault="007547E0" w14:paraId="0BEEDA80" w14:textId="77777777">
            <w:pPr>
              <w:rPr>
                <w:b/>
                <w:sz w:val="20"/>
                <w:szCs w:val="20"/>
                <w:rFonts w:asciiTheme="minorHAnsi" w:hAnsiTheme="minorHAnsi" w:cstheme="minorHAnsi"/>
              </w:rPr>
            </w:pPr>
            <w:r>
              <w:rPr>
                <w:sz w:val="20"/>
                <w:b/>
                <w:rFonts w:asciiTheme="minorHAnsi" w:hAnsiTheme="minorHAnsi"/>
              </w:rPr>
              <w:t xml:space="preserve">Einsparungen</w:t>
            </w:r>
          </w:p>
        </w:tc>
      </w:tr>
      <w:tr w:rsidRPr="00DF1A26" w:rsidR="007547E0" w:rsidTr="0242D185" w14:paraId="361380C5" w14:textId="77777777">
        <w:trPr>
          <w:trHeight w:val="558"/>
        </w:trPr>
        <w:tc>
          <w:tcPr>
            <w:tcW w:w="3624" w:type="dxa"/>
            <w:tcMar/>
          </w:tcPr>
          <w:p w:rsidRPr="00FA453F" w:rsidR="001D4756" w:rsidP="001D4756" w:rsidRDefault="001D4756" w14:paraId="45FD74FA" w14:textId="7B3AC81E">
            <w:pPr>
              <w:pStyle w:val="BodyText"/>
              <w:ind w:left="0"/>
              <w:rPr>
                <w:color w:val="000000" w:themeColor="text1"/>
                <w:sz w:val="20"/>
                <w:szCs w:val="20"/>
                <w:rFonts w:asciiTheme="minorHAnsi" w:hAnsiTheme="minorHAnsi" w:cstheme="minorHAnsi"/>
              </w:rPr>
            </w:pPr>
            <w:r w:rsidRPr="0242D185" w:rsidR="16DC0173">
              <w:rPr>
                <w:rFonts w:ascii="Calibri" w:hAnsi="Calibri" w:asciiTheme="minorAscii" w:hAnsiTheme="minorAscii"/>
                <w:color w:val="000000" w:themeColor="text1" w:themeTint="FF" w:themeShade="FF"/>
                <w:sz w:val="20"/>
                <w:szCs w:val="20"/>
              </w:rPr>
              <w:t>ShaftAlign/Aligneo, OptAlign Plus, OptAlign Plus EX, Levalign, SmartAlign, OptAlign smart, OptAlign Smart RS5, RotAlign, RotAlign Pro, RotAlign Ultra, RotAlign Ultra II, RotAlign Ultra iS</w:t>
            </w:r>
          </w:p>
          <w:p w:rsidR="0242D185" w:rsidP="0242D185" w:rsidRDefault="0242D185" w14:paraId="28FF534C" w14:textId="0B4B5E4E">
            <w:pPr>
              <w:pStyle w:val="Normal"/>
            </w:pPr>
            <w:r w:rsidRPr="0242D185" w:rsidR="0242D185">
              <w:rPr>
                <w:rFonts w:ascii="Calibri" w:hAnsi="Calibri" w:eastAsia="Calibri" w:cs="Calibri"/>
                <w:color w:val="000000" w:themeColor="text1" w:themeTint="FF" w:themeShade="FF"/>
                <w:sz w:val="20"/>
                <w:szCs w:val="20"/>
              </w:rPr>
              <w:t>oder vergleichbare Produkte von Drittanbietern (nach Ermessen des Sponsors oder des lokalen Fluke Vertriebspartners)</w:t>
            </w:r>
          </w:p>
        </w:tc>
        <w:tc>
          <w:tcPr>
            <w:tcW w:w="3038" w:type="dxa"/>
            <w:tcMar/>
          </w:tcPr>
          <w:p w:rsidRPr="00FA453F" w:rsidR="007547E0" w:rsidP="007547E0" w:rsidRDefault="007547E0" w14:paraId="0CF629E2" w14:textId="792CA5CD">
            <w:pPr>
              <w:rPr>
                <w:color w:val="000000" w:themeColor="text1"/>
                <w:sz w:val="20"/>
                <w:szCs w:val="20"/>
                <w:rFonts w:asciiTheme="minorHAnsi" w:hAnsiTheme="minorHAnsi" w:cstheme="minorHAnsi"/>
              </w:rPr>
            </w:pPr>
            <w:r>
              <w:rPr>
                <w:sz w:val="20"/>
                <w:color w:val="000000" w:themeColor="text1"/>
                <w:b/>
                <w:rFonts w:asciiTheme="minorHAnsi" w:hAnsiTheme="minorHAnsi"/>
              </w:rPr>
              <w:t xml:space="preserve">Ausrichtung:</w:t>
            </w:r>
            <w:r>
              <w:rPr>
                <w:sz w:val="20"/>
                <w:color w:val="000000" w:themeColor="text1"/>
                <w:rFonts w:asciiTheme="minorHAnsi" w:hAnsiTheme="minorHAnsi"/>
              </w:rPr>
              <w:t xml:space="preserve"> </w:t>
            </w:r>
            <w:r>
              <w:rPr>
                <w:sz w:val="20"/>
                <w:color w:val="000000" w:themeColor="text1"/>
                <w:rFonts w:asciiTheme="minorHAnsi" w:hAnsiTheme="minorHAnsi"/>
              </w:rPr>
              <w:t xml:space="preserve">New Alignment Rotalign, Optalign, ShaftAlign</w:t>
            </w:r>
          </w:p>
          <w:p w:rsidRPr="00FA453F" w:rsidR="007547E0" w:rsidP="007547E0" w:rsidRDefault="007547E0" w14:paraId="5AB17E12" w14:textId="77777777">
            <w:pPr>
              <w:rPr>
                <w:color w:val="000000" w:themeColor="text1"/>
                <w:sz w:val="20"/>
                <w:szCs w:val="20"/>
                <w:rFonts w:asciiTheme="minorHAnsi" w:hAnsiTheme="minorHAnsi" w:cstheme="minorHAnsi"/>
              </w:rPr>
            </w:pPr>
            <w:r>
              <w:rPr>
                <w:sz w:val="20"/>
                <w:color w:val="000000" w:themeColor="text1"/>
                <w:b/>
                <w:rFonts w:asciiTheme="minorHAnsi" w:hAnsiTheme="minorHAnsi"/>
              </w:rPr>
              <w:t xml:space="preserve">Zustandsüberwachung/Vibration:</w:t>
            </w:r>
            <w:r>
              <w:rPr>
                <w:sz w:val="20"/>
                <w:color w:val="000000" w:themeColor="text1"/>
                <w:rFonts w:asciiTheme="minorHAnsi" w:hAnsiTheme="minorHAnsi"/>
              </w:rPr>
              <w:t xml:space="preserve"> </w:t>
            </w:r>
            <w:r>
              <w:rPr>
                <w:sz w:val="20"/>
                <w:color w:val="000000" w:themeColor="text1"/>
                <w:rFonts w:asciiTheme="minorHAnsi" w:hAnsiTheme="minorHAnsi"/>
              </w:rPr>
              <w:t xml:space="preserve">Vibscanner 2, Vibscanner 2 EX, Vibxpert 2, Vibxpert 3</w:t>
            </w:r>
          </w:p>
          <w:p w:rsidRPr="00FA453F" w:rsidR="007547E0" w:rsidP="007547E0" w:rsidRDefault="007547E0" w14:paraId="663E5081" w14:textId="77777777">
            <w:pPr>
              <w:rPr>
                <w:rFonts w:asciiTheme="minorHAnsi" w:hAnsiTheme="minorHAnsi" w:cstheme="minorHAnsi"/>
                <w:color w:val="000000" w:themeColor="text1"/>
                <w:sz w:val="20"/>
                <w:szCs w:val="20"/>
              </w:rPr>
            </w:pPr>
          </w:p>
        </w:tc>
        <w:tc>
          <w:tcPr>
            <w:tcW w:w="2410" w:type="dxa"/>
            <w:tcMar/>
          </w:tcPr>
          <w:p w:rsidR="0242D185" w:rsidP="0242D185" w:rsidRDefault="0242D185" w14:paraId="5DEFEF26" w14:textId="77323548">
            <w:pPr>
              <w:pStyle w:val="Normal"/>
            </w:pPr>
            <w:r w:rsidRPr="0242D185" w:rsidR="0242D185">
              <w:rPr>
                <w:rFonts w:ascii="Calibri" w:hAnsi="Calibri" w:eastAsia="Calibri" w:cs="Calibri"/>
                <w:sz w:val="20"/>
                <w:szCs w:val="20"/>
              </w:rPr>
              <w:t>Bis zu 25 % Rabatt auf den geltenden lokalen Listenpreis; Details werden mit Ihrem Vertriebsmitarbeiter besprochen.</w:t>
            </w:r>
          </w:p>
          <w:p w:rsidRPr="00DF1A26" w:rsidR="0020217D" w:rsidP="007547E0" w:rsidRDefault="0020217D" w14:paraId="7FA34824" w14:textId="6558A163">
            <w:pPr>
              <w:rPr>
                <w:rFonts w:asciiTheme="minorHAnsi" w:hAnsiTheme="minorHAnsi" w:cstheme="minorHAnsi"/>
                <w:sz w:val="20"/>
                <w:szCs w:val="20"/>
              </w:rPr>
            </w:pPr>
          </w:p>
        </w:tc>
      </w:tr>
    </w:tbl>
    <w:p w:rsidRPr="00DF1A26" w:rsidR="007547E0" w:rsidP="007547E0" w:rsidRDefault="007547E0" w14:paraId="253FCA6D" w14:textId="77777777">
      <w:pPr>
        <w:pStyle w:val="BodyText"/>
        <w:spacing w:before="240"/>
        <w:ind w:left="432"/>
        <w:rPr>
          <w:b/>
          <w:sz w:val="20"/>
          <w:szCs w:val="20"/>
          <w:rFonts w:asciiTheme="minorHAnsi" w:hAnsiTheme="minorHAnsi" w:cstheme="minorHAnsi"/>
        </w:rPr>
      </w:pPr>
      <w:r w:rsidRPr="0242D185" w:rsidR="7A25B59D">
        <w:rPr>
          <w:rFonts w:ascii="Calibri" w:hAnsi="Calibri" w:asciiTheme="minorAscii" w:hAnsiTheme="minorAscii"/>
          <w:b w:val="1"/>
          <w:bCs w:val="1"/>
          <w:sz w:val="20"/>
          <w:szCs w:val="20"/>
        </w:rPr>
        <w:t>Befolgen Sie die folgenden Anweisungen, um den Eintausch eines berechtigten Produkts abzuschließen:</w:t>
      </w:r>
    </w:p>
    <w:p w:rsidR="0242D185" w:rsidP="0242D185" w:rsidRDefault="0242D185" w14:paraId="69F84E5E" w14:textId="13E3DC0D">
      <w:pPr>
        <w:pStyle w:val="ListParagraph"/>
        <w:numPr>
          <w:ilvl w:val="0"/>
          <w:numId w:val="2"/>
        </w:numPr>
        <w:rPr/>
      </w:pPr>
      <w:r w:rsidRPr="0242D185" w:rsidR="0242D185">
        <w:rPr>
          <w:rFonts w:ascii="Calibri" w:hAnsi="Calibri" w:eastAsia="Calibri" w:cs="Calibri"/>
          <w:sz w:val="20"/>
          <w:szCs w:val="20"/>
        </w:rPr>
        <w:t>Senden Sie eine E-Mail an Ihren Vertriebsmitarbeiter von Fluke Condition Monitoring &amp; Alignment oder den lokalen Fluke Vertriebspartner mit den folgenden Informationen:</w:t>
      </w:r>
    </w:p>
    <w:p w:rsidRPr="00796E58" w:rsidR="007547E0" w:rsidP="007547E0" w:rsidRDefault="007547E0" w14:paraId="567EEC25" w14:textId="77777777">
      <w:pPr>
        <w:pStyle w:val="OutlineL1"/>
        <w:numPr>
          <w:ilvl w:val="1"/>
          <w:numId w:val="2"/>
        </w:numPr>
        <w:ind w:left="1152"/>
        <w:rPr>
          <w:sz w:val="20"/>
          <w:rFonts w:asciiTheme="minorHAnsi" w:hAnsiTheme="minorHAnsi" w:cstheme="minorHAnsi"/>
        </w:rPr>
      </w:pPr>
      <w:r>
        <w:rPr>
          <w:sz w:val="20"/>
          <w:rFonts w:asciiTheme="minorHAnsi" w:hAnsiTheme="minorHAnsi"/>
        </w:rPr>
        <w:t xml:space="preserve">Name und Seriennummer des eingetauschten Produkts</w:t>
      </w:r>
    </w:p>
    <w:p w:rsidRPr="00796E58" w:rsidR="007547E0" w:rsidP="007547E0" w:rsidRDefault="007547E0" w14:paraId="5E361FDB" w14:textId="77777777">
      <w:pPr>
        <w:pStyle w:val="OutlineL1"/>
        <w:numPr>
          <w:ilvl w:val="1"/>
          <w:numId w:val="2"/>
        </w:numPr>
        <w:ind w:left="1152"/>
        <w:rPr>
          <w:sz w:val="20"/>
          <w:rFonts w:asciiTheme="minorHAnsi" w:hAnsiTheme="minorHAnsi" w:cstheme="minorHAnsi"/>
        </w:rPr>
      </w:pPr>
      <w:r>
        <w:rPr>
          <w:sz w:val="20"/>
          <w:rFonts w:asciiTheme="minorHAnsi" w:hAnsiTheme="minorHAnsi"/>
        </w:rPr>
        <w:t xml:space="preserve">Gewünschtes neues Produkt</w:t>
      </w:r>
    </w:p>
    <w:p w:rsidRPr="00796E58" w:rsidR="007547E0" w:rsidP="007547E0" w:rsidRDefault="007547E0" w14:paraId="5D70FB49" w14:textId="77777777">
      <w:pPr>
        <w:pStyle w:val="OutlineL1"/>
        <w:numPr>
          <w:ilvl w:val="1"/>
          <w:numId w:val="2"/>
        </w:numPr>
        <w:ind w:left="1152"/>
        <w:rPr>
          <w:sz w:val="20"/>
          <w:rFonts w:asciiTheme="minorHAnsi" w:hAnsiTheme="minorHAnsi" w:cstheme="minorHAnsi"/>
        </w:rPr>
      </w:pPr>
      <w:r>
        <w:rPr>
          <w:sz w:val="20"/>
          <w:rFonts w:asciiTheme="minorHAnsi" w:hAnsiTheme="minorHAnsi"/>
        </w:rPr>
        <w:t xml:space="preserve">Kontaktinformationen: Name, Unternehmen, E-Mail-Adresse und Telefonnummer</w:t>
      </w:r>
    </w:p>
    <w:p w:rsidRPr="00796E58" w:rsidR="007547E0" w:rsidP="007547E0" w:rsidRDefault="007547E0" w14:paraId="5264FA7B" w14:textId="77777777">
      <w:pPr>
        <w:pStyle w:val="OutlineL1"/>
        <w:numPr>
          <w:ilvl w:val="0"/>
          <w:numId w:val="0"/>
        </w:numPr>
        <w:ind w:left="792"/>
        <w:rPr>
          <w:sz w:val="20"/>
          <w:rFonts w:asciiTheme="minorHAnsi" w:hAnsiTheme="minorHAnsi" w:cstheme="minorHAnsi"/>
        </w:rPr>
      </w:pPr>
      <w:r>
        <w:rPr>
          <w:sz w:val="20"/>
          <w:rFonts w:asciiTheme="minorHAnsi" w:hAnsiTheme="minorHAnsi"/>
        </w:rPr>
        <w:t xml:space="preserve">Sie erhalten einen Anruf und/oder eine E-Mail mit einem Angebot und weiteren Informationen zu den nächsten Schritten.</w:t>
      </w:r>
    </w:p>
    <w:p w:rsidR="007547E0" w:rsidP="007547E0" w:rsidRDefault="007547E0" w14:paraId="06EA2E28" w14:textId="77777777">
      <w:pPr>
        <w:pStyle w:val="OutlineL1"/>
        <w:numPr>
          <w:ilvl w:val="0"/>
          <w:numId w:val="2"/>
        </w:numPr>
        <w:ind w:left="792"/>
        <w:rPr>
          <w:sz w:val="20"/>
          <w:rFonts w:asciiTheme="minorHAnsi" w:hAnsiTheme="minorHAnsi" w:cstheme="minorHAnsi"/>
        </w:rPr>
      </w:pPr>
      <w:r>
        <w:rPr>
          <w:sz w:val="20"/>
          <w:rFonts w:asciiTheme="minorHAnsi" w:hAnsiTheme="minorHAnsi"/>
        </w:rPr>
        <w:t xml:space="preserve">Geben Sie diesen Aktionscode bei Ihrer Bestellung an:</w:t>
      </w:r>
      <w:r>
        <w:rPr>
          <w:sz w:val="20"/>
          <w:rFonts w:asciiTheme="minorHAnsi" w:hAnsiTheme="minorHAnsi"/>
        </w:rPr>
        <w:t xml:space="preserve">    </w:t>
      </w:r>
    </w:p>
    <w:p w:rsidR="007547E0" w:rsidP="007547E0" w:rsidRDefault="006E20B3" w14:paraId="60F97677" w14:textId="6362E62B">
      <w:pPr>
        <w:pStyle w:val="OutlineL1"/>
        <w:numPr>
          <w:ilvl w:val="1"/>
          <w:numId w:val="2"/>
        </w:numPr>
        <w:rPr>
          <w:sz w:val="20"/>
          <w:rFonts w:asciiTheme="minorHAnsi" w:hAnsiTheme="minorHAnsi" w:cstheme="minorHAnsi"/>
        </w:rPr>
      </w:pPr>
      <w:r>
        <w:rPr>
          <w:sz w:val="20"/>
          <w:rFonts w:asciiTheme="minorHAnsi" w:hAnsiTheme="minorHAnsi"/>
        </w:rPr>
        <w:t xml:space="preserve">CMA-Trade-In-Campaign-2026-EMEA</w:t>
      </w:r>
    </w:p>
    <w:p w:rsidRPr="00796E58" w:rsidR="007547E0" w:rsidP="0242D185" w:rsidRDefault="007547E0" w14:paraId="62048557" w14:textId="77777777">
      <w:pPr>
        <w:pStyle w:val="OutlineL9"/>
        <w:ind w:left="792"/>
        <w:rPr>
          <w:sz w:val="20"/>
          <w:rFonts w:asciiTheme="minorHAnsi" w:hAnsiTheme="minorHAnsi" w:cstheme="minorHAnsi"/>
        </w:rPr>
      </w:pPr>
      <w:r w:rsidRPr="0242D185" w:rsidR="7A25B59D">
        <w:rPr>
          <w:rFonts w:ascii="Calibri" w:hAnsi="Calibri" w:asciiTheme="minorAscii" w:hAnsiTheme="minorAscii"/>
          <w:sz w:val="20"/>
          <w:szCs w:val="20"/>
        </w:rPr>
        <w:t>Geben Sie Ihren Bestellwert zum angegebenen Listenpreis an, und berücksichtigen Sie den entsprechenden Rabatt, den Sie erhalten haben.</w:t>
      </w:r>
      <w:r w:rsidRPr="0242D185" w:rsidR="7A25B59D">
        <w:rPr>
          <w:rFonts w:ascii="Calibri" w:hAnsi="Calibri" w:asciiTheme="minorAscii" w:hAnsiTheme="minorAscii"/>
          <w:sz w:val="20"/>
          <w:szCs w:val="20"/>
        </w:rPr>
        <w:t xml:space="preserve"> </w:t>
      </w:r>
    </w:p>
    <w:p w:rsidR="0242D185" w:rsidP="0242D185" w:rsidRDefault="0242D185" w14:paraId="1C482603" w14:textId="0C4FCED0">
      <w:pPr>
        <w:pStyle w:val="ListParagraph"/>
        <w:numPr>
          <w:ilvl w:val="0"/>
          <w:numId w:val="2"/>
        </w:numPr>
        <w:rPr/>
      </w:pPr>
      <w:r w:rsidRPr="0242D185" w:rsidR="0242D185">
        <w:rPr>
          <w:rFonts w:ascii="Calibri" w:hAnsi="Calibri" w:eastAsia="Calibri" w:cs="Calibri"/>
          <w:sz w:val="20"/>
          <w:szCs w:val="20"/>
        </w:rPr>
        <w:t>Wenn der Sponsor oder der lokale Fluke Vertriebspartner die Bestellung erhält, kann eine Rücksendegenehmigung (Return Material Authorization, „</w:t>
      </w:r>
      <w:r w:rsidRPr="0242D185" w:rsidR="0242D185">
        <w:rPr>
          <w:rFonts w:ascii="Calibri" w:hAnsi="Calibri" w:eastAsia="Calibri" w:cs="Calibri"/>
          <w:b w:val="1"/>
          <w:bCs w:val="1"/>
          <w:i w:val="1"/>
          <w:iCs w:val="1"/>
          <w:sz w:val="20"/>
          <w:szCs w:val="20"/>
        </w:rPr>
        <w:t>RMA</w:t>
      </w:r>
      <w:r w:rsidRPr="0242D185" w:rsidR="0242D185">
        <w:rPr>
          <w:rFonts w:ascii="Calibri" w:hAnsi="Calibri" w:eastAsia="Calibri" w:cs="Calibri"/>
          <w:sz w:val="20"/>
          <w:szCs w:val="20"/>
        </w:rPr>
        <w:t>“) für die Rücksendung Ihres eingetauschten Produkts ausgestellt werden oder Sie können gebeten werden, ein Foto zu senden, das zeigt, dass das berechtigte Produkt vernichtet wurde.</w:t>
      </w:r>
    </w:p>
    <w:p w:rsidR="0242D185" w:rsidP="0242D185" w:rsidRDefault="0242D185" w14:paraId="49B9CA25" w14:textId="4C15BBCB">
      <w:pPr>
        <w:pStyle w:val="ListParagraph"/>
        <w:numPr>
          <w:ilvl w:val="0"/>
          <w:numId w:val="2"/>
        </w:numPr>
        <w:rPr/>
      </w:pPr>
      <w:r w:rsidRPr="0242D185" w:rsidR="0242D185">
        <w:rPr>
          <w:rFonts w:ascii="Calibri" w:hAnsi="Calibri" w:eastAsia="Calibri" w:cs="Calibri"/>
          <w:sz w:val="20"/>
          <w:szCs w:val="20"/>
        </w:rPr>
        <w:t>Falls erforderlich, müssen Sie Ihr eingetauschtes Produkt innerhalb von sechs Wochen nach Versand des neuen Produkts im Austausch für den Eintauschrabatt zurücksenden. Wenn Sie dies nicht tun, wird Ihnen der Rabattprozentsatz oder -betrag berechnet, den der Sponsor oder der lokale Fluke Vertriebspartner Ihnen im Rahmen des Programms gewährt hat. Um das eingetauschte Produkt zurückzusenden, schreiben Sie die RMA-Nummer auf den Versandkarton und senden Sie es an die in der RMA angegebene Adresse oder, falls dort nichts angegeben ist, an Ihren lokalen Fluke Vertriebsmitarbeiter oder den lokalen Fluke Vertriebspartner.</w:t>
      </w:r>
    </w:p>
    <w:p w:rsidR="0242D185" w:rsidP="0242D185" w:rsidRDefault="0242D185" w14:paraId="4A3998FA" w14:textId="6414CC36">
      <w:pPr>
        <w:pStyle w:val="OutlineL1"/>
        <w:ind w:left="420"/>
        <w:rPr/>
      </w:pPr>
      <w:r w:rsidRPr="0242D185" w:rsidR="0242D185">
        <w:rPr>
          <w:rFonts w:ascii="Calibri" w:hAnsi="Calibri" w:eastAsia="Calibri" w:cs="Calibri"/>
          <w:sz w:val="20"/>
          <w:szCs w:val="20"/>
        </w:rPr>
        <w:t>Die Entscheidung, ob ein eingetauschtes Produkt im Rahmen des Programms als berechtigtes Produkt gilt, liegt im alleinigen und uneingeschränkten Ermessen des Sponsors oder des lokalen Fluke Vertriebspartners. Das eingetauschte Produkt muss sich nicht in funktionsfähigem Zustand befinden. Alle im Rahmen dieses Programms als Eintausch zurückgegebenen Geräte gehen in das Eigentum des Sponsors oder des lokalen Fluke Vertriebspartners über. Alle Kosten, Steuern, Zölle, Gebühren und Aufwendungen im Zusammenhang mit der Teilnahme eines Kunden am Programm, einschließlich Versand und Abwicklung der eingetauschten Produkte, liegen in der Verantwortung des Kunden. Etwaige Steuern/Gebühren liegen in der Verantwortung des Empfängers.</w:t>
      </w:r>
    </w:p>
    <w:p w:rsidR="0242D185" w:rsidP="0242D185" w:rsidRDefault="0242D185" w14:paraId="6C477930" w14:textId="457282F0">
      <w:pPr>
        <w:pStyle w:val="OutlineL1"/>
        <w:ind w:left="420"/>
        <w:rPr/>
      </w:pPr>
      <w:r w:rsidRPr="0242D185" w:rsidR="0242D185">
        <w:rPr>
          <w:rFonts w:ascii="Calibri" w:hAnsi="Calibri" w:eastAsia="Calibri" w:cs="Calibri"/>
          <w:b w:val="1"/>
          <w:bCs w:val="1"/>
          <w:sz w:val="20"/>
          <w:szCs w:val="20"/>
        </w:rPr>
        <w:t>Haftungsfreistellung und Schadloshaltung</w:t>
      </w:r>
      <w:r w:rsidRPr="0242D185" w:rsidR="0242D185">
        <w:rPr>
          <w:rFonts w:ascii="Calibri" w:hAnsi="Calibri" w:eastAsia="Calibri" w:cs="Calibri"/>
          <w:sz w:val="20"/>
          <w:szCs w:val="20"/>
        </w:rPr>
        <w:t>. Soweit gesetzlich nicht anders untersagt, stellen Sie durch Ihre Teilnahme an der Aktion jede freigestellte Partei von sämtlichen Haftungen, Verpflichtungen, Verletzungen, Ansprüchen, Klagen, Verfahren, Kosten, Aufwendungen, Verlusten oder Schäden jeglicher Art frei und verpflichten sich, diese schadlos zu halten, einschließlich steuerlicher Verpflichtungen oder entgangener Chancen, unabhängig davon, ob diese unmittelbar, mittelbar, besonders oder als Folgeschäden entstehen und einer freigestellten Partei im Zusammenhang mit dieser Aktion und den darunter angebotenen Rabatten auferlegt, gegen sie geltend gemacht oder von ihr erlitten werden, insbesondere aufgrund von: (a) technischen Schwierigkeiten oder Fehlfunktionen von Geräten (unabhängig davon, ob sie unter der Kontrolle des Sponsors oder des lokalen Fluke Vertriebspartners stehen); (b) Diebstahl, unbefugtem Zugriff oder Eingriffen Dritter; (c) verspäteten, verlorenen, veränderten, beschädigten oder fehlgeleiteten Anfragen zu qualifizierenden Käufen (unabhängig davon, ob sie nach Eingang beim Sponsor oder lokalen Fluke Vertriebspartner auftreten), soweit diese außerhalb der zumutbaren Kontrolle des Sponsors oder lokalen Fluke Vertriebspartners liegen; (d) Schäden aufgrund der Tätigkeit des Postdienstes; (e) steuerlichen Verpflichtungen des Teilnehmers; sowie (f) Nutzung oder missbräuchlicher Verwendung des rabattierten Produkts oder eines kostenlosen Geschenks beim Kauf.</w:t>
      </w:r>
    </w:p>
    <w:p w:rsidRPr="00DF1A26" w:rsidR="007547E0" w:rsidP="007547E0" w:rsidRDefault="007547E0" w14:paraId="2F4FB1BB" w14:textId="1F0AC800">
      <w:pPr>
        <w:pStyle w:val="OutlineL1"/>
        <w:tabs>
          <w:tab w:val="clear" w:pos="1008"/>
          <w:tab w:val="num" w:pos="576"/>
        </w:tabs>
        <w:ind w:left="432"/>
        <w:rPr>
          <w:sz w:val="20"/>
          <w:rFonts w:asciiTheme="minorHAnsi" w:hAnsiTheme="minorHAnsi" w:cstheme="minorHAnsi"/>
        </w:rPr>
      </w:pPr>
      <w:r>
        <w:rPr>
          <w:sz w:val="20"/>
          <w:b/>
          <w:rFonts w:asciiTheme="minorHAnsi" w:hAnsiTheme="minorHAnsi"/>
        </w:rPr>
        <w:t xml:space="preserve">Hinweis zum geistigen Eigentum</w:t>
      </w:r>
      <w:r>
        <w:rPr>
          <w:sz w:val="20"/>
          <w:rFonts w:asciiTheme="minorHAnsi" w:hAnsiTheme="minorHAnsi"/>
        </w:rPr>
        <w:t xml:space="preserve">.</w:t>
      </w:r>
      <w:r>
        <w:rPr>
          <w:sz w:val="20"/>
          <w:rFonts w:asciiTheme="minorHAnsi" w:hAnsiTheme="minorHAnsi"/>
        </w:rPr>
        <w:t xml:space="preserve"> </w:t>
      </w:r>
      <w:r>
        <w:rPr>
          <w:sz w:val="20"/>
          <w:rFonts w:asciiTheme="minorHAnsi" w:hAnsiTheme="minorHAnsi"/>
        </w:rPr>
        <w:t xml:space="preserve">Das Programm und alle begleitenden Materialien einschließlich der Teilnahmebedingungen unterliegen dem Copyright © 2026 der Fluke Corporation und deren angeschlossenen juristischen Körperschaften.</w:t>
      </w:r>
      <w:r>
        <w:rPr>
          <w:sz w:val="20"/>
          <w:rFonts w:asciiTheme="minorHAnsi" w:hAnsiTheme="minorHAnsi"/>
        </w:rPr>
        <w:t xml:space="preserve"> </w:t>
      </w:r>
      <w:r>
        <w:rPr>
          <w:sz w:val="20"/>
          <w:rFonts w:asciiTheme="minorHAnsi" w:hAnsiTheme="minorHAnsi"/>
        </w:rPr>
        <w:t xml:space="preserve">Alle Rechte vorbehalten.</w:t>
      </w:r>
    </w:p>
    <w:p w:rsidRPr="00DF1A26" w:rsidR="007547E0" w:rsidP="4F519399" w:rsidRDefault="007547E0" w14:paraId="1F621CAA" w14:textId="03780FA3">
      <w:pPr>
        <w:pStyle w:val="OutlineL1"/>
        <w:tabs>
          <w:tab w:val="clear" w:pos="1008"/>
          <w:tab w:val="num" w:pos="576"/>
        </w:tabs>
        <w:ind w:left="432"/>
        <w:rPr>
          <w:sz w:val="20"/>
          <w:rFonts w:asciiTheme="minorHAnsi" w:hAnsiTheme="minorHAnsi" w:cstheme="minorBidi"/>
        </w:rPr>
      </w:pPr>
      <w:r w:rsidRPr="0242D185" w:rsidR="7A25B59D">
        <w:rPr>
          <w:rFonts w:ascii="Calibri" w:hAnsi="Calibri" w:asciiTheme="minorAscii" w:hAnsiTheme="minorAscii"/>
          <w:b w:val="1"/>
          <w:bCs w:val="1"/>
          <w:sz w:val="20"/>
          <w:szCs w:val="20"/>
        </w:rPr>
        <w:t>Sonstiges</w:t>
      </w:r>
      <w:r w:rsidRPr="0242D185" w:rsidR="7A25B59D">
        <w:rPr>
          <w:rFonts w:ascii="Calibri" w:hAnsi="Calibri" w:asciiTheme="minorAscii" w:hAnsiTheme="minorAscii"/>
          <w:sz w:val="20"/>
          <w:szCs w:val="20"/>
        </w:rPr>
        <w:t>.</w:t>
      </w:r>
      <w:r w:rsidRPr="0242D185" w:rsidR="7A25B59D">
        <w:rPr>
          <w:rFonts w:ascii="Calibri" w:hAnsi="Calibri" w:asciiTheme="minorAscii" w:hAnsiTheme="minorAscii"/>
          <w:sz w:val="20"/>
          <w:szCs w:val="20"/>
        </w:rPr>
        <w:t xml:space="preserve"> </w:t>
      </w:r>
      <w:r w:rsidRPr="0242D185" w:rsidR="7A25B59D">
        <w:rPr>
          <w:rFonts w:ascii="Calibri" w:hAnsi="Calibri" w:asciiTheme="minorAscii" w:hAnsiTheme="minorAscii"/>
          <w:sz w:val="20"/>
          <w:szCs w:val="20"/>
        </w:rPr>
        <w:t>Das Programm und diese Bedingungen unterliegen den Gesetzen des Landes, in dem der Sponsor seinen Sitz hat, ohne dass Konflikte oder Bestimmungen zur Rechtswahl unter diesem Recht zur Anwendung kommen, die die Auslegung oder eine Bestimmung davon auf die Gesetze einer anderen Gerichtsbarkeit verweisen könnten.</w:t>
      </w:r>
      <w:r w:rsidRPr="0242D185" w:rsidR="7A25B59D">
        <w:rPr>
          <w:rFonts w:ascii="Calibri" w:hAnsi="Calibri" w:asciiTheme="minorAscii" w:hAnsiTheme="minorAscii"/>
          <w:sz w:val="20"/>
          <w:szCs w:val="20"/>
        </w:rPr>
        <w:t xml:space="preserve">  </w:t>
      </w:r>
      <w:r w:rsidRPr="0242D185" w:rsidR="7A25B59D">
        <w:rPr>
          <w:rFonts w:ascii="Calibri" w:hAnsi="Calibri" w:asciiTheme="minorAscii" w:hAnsiTheme="minorAscii"/>
          <w:sz w:val="20"/>
          <w:szCs w:val="20"/>
        </w:rPr>
        <w:t>Teilnehmer sind an diese Allgemeinen Geschäftsbedingungen und an die Entscheidungen des Sponsors gebunden, die in jeder Hinsicht endgültig und verbindlich sind.</w:t>
      </w:r>
      <w:r w:rsidRPr="0242D185" w:rsidR="7A25B59D">
        <w:rPr>
          <w:rFonts w:ascii="Calibri" w:hAnsi="Calibri" w:asciiTheme="minorAscii" w:hAnsiTheme="minorAscii"/>
          <w:sz w:val="20"/>
          <w:szCs w:val="20"/>
        </w:rPr>
        <w:t xml:space="preserve">  </w:t>
      </w:r>
      <w:r w:rsidRPr="0242D185" w:rsidR="7A25B59D">
        <w:rPr>
          <w:rFonts w:ascii="Calibri" w:hAnsi="Calibri" w:asciiTheme="minorAscii" w:hAnsiTheme="minorAscii"/>
          <w:sz w:val="20"/>
          <w:szCs w:val="20"/>
        </w:rPr>
        <w:t>Soweit gesetzlich zulässig, behält sich der Sponsor das Recht vor, diese Teilnahmebedingungen jederzeit nach eigenem Ermessen zu ändern und das Programm oder die Teilnahme einer Person am Programm auszusetzen oder abzusagen. Dies geschieht, wenn Computerviren, unbefugtes menschliches Eingreifen oder andere Ursachen, die außerhalb der angemessenen Kontrolle des Sponsors liegen, die Verwaltung, Sicherheit oder Durchführung des Programms beeinträchtigen, oder der Sponsor (wie nach eigenem Ermessen festgelegt) aus anderen Gründen nicht mehr in der Lage ist, das Programm wie geplant durchzuführen. Dies geschieht auch aus einem anderen Grund, den der Sponsor nach eigenem Ermessen für angemessen hält.</w:t>
      </w:r>
      <w:r w:rsidRPr="0242D185" w:rsidR="7A25B59D">
        <w:rPr>
          <w:rFonts w:ascii="Calibri" w:hAnsi="Calibri" w:asciiTheme="minorAscii" w:hAnsiTheme="minorAscii"/>
          <w:sz w:val="20"/>
          <w:szCs w:val="20"/>
        </w:rPr>
        <w:t xml:space="preserve"> </w:t>
      </w:r>
    </w:p>
    <w:p w:rsidR="0242D185" w:rsidP="0242D185" w:rsidRDefault="0242D185" w14:paraId="6BF15873" w14:textId="7890B714">
      <w:pPr>
        <w:pStyle w:val="BodyText"/>
        <w:ind w:left="420"/>
      </w:pPr>
      <w:r w:rsidRPr="0242D185" w:rsidR="0242D185">
        <w:rPr>
          <w:rFonts w:ascii="Calibri" w:hAnsi="Calibri" w:eastAsia="Calibri" w:cs="Calibri"/>
          <w:sz w:val="20"/>
          <w:szCs w:val="20"/>
        </w:rPr>
        <w:t>Teilnehmer, die gegen diese Teilnahmebedingungen verstoßen, gegen Gesetze, Regeln oder Vorschriften im Zusammenhang mit der Teilnahme am Programm verstoßen, den Betrieb des Programms oder der hierunter angebotenen Steuerungsmechanismen manipulieren oder ein Verhalten an den Tag legen, das dem Sponsor, dem Programm oder einem anderen Teilnehmer schadet oder unfair ist (jeweils nach alleinigem Ermessen des Sponsors), können von der Teilnahme am Programm ausgeschlossen werden. Wenn Sie Fragen zu diesen Teilnahmebedingungen oder zum Programm haben, senden Sie Ihre Frage bitte an die für Ihr Land oder Ihre Region relevante E-Mail-Adresse, die in der untenstehenden Adresstabelle des Sponsors aufgeführt ist.</w:t>
      </w:r>
    </w:p>
    <w:p w:rsidR="0242D185" w:rsidP="0242D185" w:rsidRDefault="0242D185" w14:paraId="299E6179" w14:textId="5BCE9C94">
      <w:pPr>
        <w:pStyle w:val="OutlineL1"/>
        <w:ind w:left="420"/>
        <w:rPr/>
      </w:pPr>
      <w:r w:rsidRPr="0242D185" w:rsidR="0242D185">
        <w:rPr>
          <w:rFonts w:ascii="Calibri" w:hAnsi="Calibri" w:eastAsia="Calibri" w:cs="Calibri"/>
          <w:b w:val="1"/>
          <w:bCs w:val="1"/>
          <w:sz w:val="20"/>
          <w:szCs w:val="20"/>
        </w:rPr>
        <w:t>Adresse des Sponsors</w:t>
      </w:r>
      <w:r w:rsidRPr="0242D185" w:rsidR="0242D185">
        <w:rPr>
          <w:rFonts w:ascii="Calibri" w:hAnsi="Calibri" w:eastAsia="Calibri" w:cs="Calibri"/>
          <w:sz w:val="20"/>
          <w:szCs w:val="20"/>
        </w:rPr>
        <w:t>:</w:t>
      </w:r>
    </w:p>
    <w:tbl>
      <w:tblPr>
        <w:tblStyle w:val="TableGrid"/>
        <w:tblW w:w="0" w:type="auto"/>
        <w:tblLook w:val="04A0" w:firstRow="1" w:lastRow="0" w:firstColumn="1" w:lastColumn="0" w:noHBand="0" w:noVBand="1"/>
      </w:tblPr>
      <w:tblGrid>
        <w:gridCol w:w="2700"/>
        <w:gridCol w:w="6300"/>
      </w:tblGrid>
      <w:tr w:rsidR="0242D185" w:rsidTr="0242D185" w14:paraId="1C46281C">
        <w:tc>
          <w:tcPr>
            <w:tcW w:w="2700" w:type="dxa"/>
            <w:tcMar/>
          </w:tcPr>
          <w:p w:rsidR="0242D185" w:rsidP="0242D185" w:rsidRDefault="0242D185" w14:paraId="3FE3210C" w14:textId="69C79653">
            <w:pPr>
              <w:pStyle w:val="Normal"/>
            </w:pPr>
            <w:r w:rsidRPr="0242D185" w:rsidR="0242D185">
              <w:rPr>
                <w:rFonts w:ascii="Calibri" w:hAnsi="Calibri" w:eastAsia="Calibri" w:cs="Calibri"/>
                <w:b w:val="1"/>
                <w:bCs w:val="1"/>
                <w:sz w:val="20"/>
                <w:szCs w:val="20"/>
              </w:rPr>
              <w:t>Land/Region</w:t>
            </w:r>
          </w:p>
        </w:tc>
        <w:tc>
          <w:tcPr>
            <w:tcW w:w="6300" w:type="dxa"/>
            <w:tcMar/>
          </w:tcPr>
          <w:p w:rsidR="0242D185" w:rsidP="0242D185" w:rsidRDefault="0242D185" w14:paraId="10506842" w14:textId="5D3984BC">
            <w:pPr>
              <w:pStyle w:val="Normal"/>
            </w:pPr>
            <w:r w:rsidRPr="0242D185" w:rsidR="0242D185">
              <w:rPr>
                <w:rFonts w:ascii="Calibri" w:hAnsi="Calibri" w:eastAsia="Calibri" w:cs="Calibri"/>
                <w:b w:val="1"/>
                <w:bCs w:val="1"/>
                <w:sz w:val="20"/>
                <w:szCs w:val="20"/>
              </w:rPr>
              <w:t>Kontaktdaten</w:t>
            </w:r>
          </w:p>
        </w:tc>
      </w:tr>
      <w:tr w:rsidR="0242D185" w:rsidTr="0242D185" w14:paraId="71993326">
        <w:tc>
          <w:tcPr>
            <w:tcW w:w="2700" w:type="dxa"/>
            <w:tcMar/>
          </w:tcPr>
          <w:p w:rsidR="0242D185" w:rsidP="0242D185" w:rsidRDefault="0242D185" w14:paraId="6CAC874D" w14:textId="6D9575F3">
            <w:pPr>
              <w:pStyle w:val="Normal"/>
            </w:pPr>
            <w:r w:rsidRPr="0242D185" w:rsidR="0242D185">
              <w:rPr>
                <w:rFonts w:ascii="Calibri" w:hAnsi="Calibri" w:eastAsia="Calibri" w:cs="Calibri"/>
                <w:sz w:val="20"/>
                <w:szCs w:val="20"/>
              </w:rPr>
              <w:t>Deutschland</w:t>
            </w:r>
          </w:p>
        </w:tc>
        <w:tc>
          <w:tcPr>
            <w:tcW w:w="6300" w:type="dxa"/>
            <w:tcMar/>
          </w:tcPr>
          <w:p w:rsidR="0242D185" w:rsidP="0242D185" w:rsidRDefault="0242D185" w14:paraId="35BA58AA" w14:textId="3EA7C280">
            <w:pPr>
              <w:pStyle w:val="Normal"/>
            </w:pPr>
            <w:r w:rsidRPr="0242D185" w:rsidR="0242D185">
              <w:rPr>
                <w:rFonts w:ascii="Calibri" w:hAnsi="Calibri" w:eastAsia="Calibri" w:cs="Calibri"/>
                <w:sz w:val="20"/>
                <w:szCs w:val="20"/>
              </w:rPr>
              <w:t>sales.de@fluke.com</w:t>
            </w:r>
            <w:r>
              <w:br/>
            </w:r>
            <w:r w:rsidRPr="0242D185" w:rsidR="0242D185">
              <w:rPr>
                <w:rFonts w:ascii="Calibri" w:hAnsi="Calibri" w:eastAsia="Calibri" w:cs="Calibri"/>
                <w:sz w:val="20"/>
                <w:szCs w:val="20"/>
              </w:rPr>
              <w:t>Fluke Deutschland GmbH, In den Engematten 14, 79286 Glottertal, Deutschland</w:t>
            </w:r>
          </w:p>
        </w:tc>
      </w:tr>
      <w:tr w:rsidR="0242D185" w:rsidTr="0242D185" w14:paraId="69072C96">
        <w:tc>
          <w:tcPr>
            <w:tcW w:w="2700" w:type="dxa"/>
            <w:tcMar/>
          </w:tcPr>
          <w:p w:rsidR="0242D185" w:rsidP="0242D185" w:rsidRDefault="0242D185" w14:paraId="35B12B02" w14:textId="3704CB18">
            <w:pPr>
              <w:pStyle w:val="Normal"/>
            </w:pPr>
            <w:r w:rsidRPr="0242D185" w:rsidR="0242D185">
              <w:rPr>
                <w:rFonts w:ascii="Calibri" w:hAnsi="Calibri" w:eastAsia="Calibri" w:cs="Calibri"/>
                <w:sz w:val="20"/>
                <w:szCs w:val="20"/>
              </w:rPr>
              <w:t>Frankreich</w:t>
            </w:r>
          </w:p>
        </w:tc>
        <w:tc>
          <w:tcPr>
            <w:tcW w:w="6300" w:type="dxa"/>
            <w:tcMar/>
          </w:tcPr>
          <w:p w:rsidR="0242D185" w:rsidP="0242D185" w:rsidRDefault="0242D185" w14:paraId="6A5259D1" w14:textId="3F5E8F2F">
            <w:pPr>
              <w:pStyle w:val="Normal"/>
            </w:pPr>
            <w:r w:rsidRPr="0242D185" w:rsidR="0242D185">
              <w:rPr>
                <w:rFonts w:ascii="Calibri" w:hAnsi="Calibri" w:eastAsia="Calibri" w:cs="Calibri"/>
                <w:sz w:val="20"/>
                <w:szCs w:val="20"/>
              </w:rPr>
              <w:t>info_fr_pruftechnik@fluke.com</w:t>
            </w:r>
            <w:r>
              <w:br/>
            </w:r>
            <w:r w:rsidRPr="0242D185" w:rsidR="0242D185">
              <w:rPr>
                <w:rFonts w:ascii="Calibri" w:hAnsi="Calibri" w:eastAsia="Calibri" w:cs="Calibri"/>
                <w:sz w:val="20"/>
                <w:szCs w:val="20"/>
              </w:rPr>
              <w:t>Fluke France SAS, 9 Rue Paul Dautier, Velizy-Villacoublay 7814</w:t>
            </w:r>
          </w:p>
        </w:tc>
      </w:tr>
      <w:tr w:rsidR="0242D185" w:rsidTr="0242D185" w14:paraId="7F036395">
        <w:tc>
          <w:tcPr>
            <w:tcW w:w="2700" w:type="dxa"/>
            <w:tcMar/>
          </w:tcPr>
          <w:p w:rsidR="0242D185" w:rsidP="0242D185" w:rsidRDefault="0242D185" w14:paraId="6CC5C4D7" w14:textId="353138E4">
            <w:pPr>
              <w:pStyle w:val="Normal"/>
            </w:pPr>
            <w:r w:rsidRPr="0242D185" w:rsidR="0242D185">
              <w:rPr>
                <w:rFonts w:ascii="Calibri" w:hAnsi="Calibri" w:eastAsia="Calibri" w:cs="Calibri"/>
                <w:sz w:val="20"/>
                <w:szCs w:val="20"/>
              </w:rPr>
              <w:t>Belgien, Luxemburg, Niederlande</w:t>
            </w:r>
          </w:p>
        </w:tc>
        <w:tc>
          <w:tcPr>
            <w:tcW w:w="6300" w:type="dxa"/>
            <w:tcMar/>
          </w:tcPr>
          <w:p w:rsidR="0242D185" w:rsidP="0242D185" w:rsidRDefault="0242D185" w14:paraId="533887BA" w14:textId="12A31ABE">
            <w:pPr>
              <w:pStyle w:val="Normal"/>
            </w:pPr>
            <w:r w:rsidRPr="0242D185" w:rsidR="0242D185">
              <w:rPr>
                <w:rFonts w:ascii="Calibri" w:hAnsi="Calibri" w:eastAsia="Calibri" w:cs="Calibri"/>
                <w:sz w:val="20"/>
                <w:szCs w:val="20"/>
              </w:rPr>
              <w:t>Info.benelux.frs@fluke.com</w:t>
            </w:r>
            <w:r>
              <w:br/>
            </w:r>
            <w:r w:rsidRPr="0242D185" w:rsidR="0242D185">
              <w:rPr>
                <w:rFonts w:ascii="Calibri" w:hAnsi="Calibri" w:eastAsia="Calibri" w:cs="Calibri"/>
                <w:sz w:val="20"/>
                <w:szCs w:val="20"/>
              </w:rPr>
              <w:t>Fluke Belgium S.A./N.V., Gaston Crommenlaan 8 bus 0510, 1. Etage, 9050 Gent, Belgien</w:t>
            </w:r>
          </w:p>
        </w:tc>
      </w:tr>
      <w:tr w:rsidR="0242D185" w:rsidTr="0242D185" w14:paraId="020E83F5">
        <w:tc>
          <w:tcPr>
            <w:tcW w:w="2700" w:type="dxa"/>
            <w:tcMar/>
          </w:tcPr>
          <w:p w:rsidR="0242D185" w:rsidP="0242D185" w:rsidRDefault="0242D185" w14:paraId="206CD3C4" w14:textId="6D154301">
            <w:pPr>
              <w:pStyle w:val="Normal"/>
            </w:pPr>
            <w:r w:rsidRPr="0242D185" w:rsidR="0242D185">
              <w:rPr>
                <w:rFonts w:ascii="Calibri" w:hAnsi="Calibri" w:eastAsia="Calibri" w:cs="Calibri"/>
                <w:sz w:val="20"/>
                <w:szCs w:val="20"/>
              </w:rPr>
              <w:t>Vereinigtes Königreich</w:t>
            </w:r>
          </w:p>
        </w:tc>
        <w:tc>
          <w:tcPr>
            <w:tcW w:w="6300" w:type="dxa"/>
            <w:tcMar/>
          </w:tcPr>
          <w:p w:rsidR="0242D185" w:rsidP="0242D185" w:rsidRDefault="0242D185" w14:paraId="2ECDA99D" w14:textId="40384A0E">
            <w:pPr>
              <w:pStyle w:val="Normal"/>
            </w:pPr>
            <w:r w:rsidRPr="0242D185" w:rsidR="0242D185">
              <w:rPr>
                <w:rFonts w:ascii="Calibri" w:hAnsi="Calibri" w:eastAsia="Calibri" w:cs="Calibri"/>
                <w:sz w:val="20"/>
                <w:szCs w:val="20"/>
              </w:rPr>
              <w:t>ptuk_sales@pruftechnik.com</w:t>
            </w:r>
            <w:r>
              <w:br/>
            </w:r>
            <w:r w:rsidRPr="0242D185" w:rsidR="0242D185">
              <w:rPr>
                <w:rFonts w:ascii="Calibri" w:hAnsi="Calibri" w:eastAsia="Calibri" w:cs="Calibri"/>
                <w:sz w:val="20"/>
                <w:szCs w:val="20"/>
              </w:rPr>
              <w:t>FLUKE (UK) Limited, 52 Hurricane Way, Norwich, NR6 6JB</w:t>
            </w:r>
          </w:p>
        </w:tc>
      </w:tr>
      <w:tr w:rsidR="0242D185" w:rsidTr="0242D185" w14:paraId="2DF88DD9">
        <w:tc>
          <w:tcPr>
            <w:tcW w:w="2700" w:type="dxa"/>
            <w:tcMar/>
          </w:tcPr>
          <w:p w:rsidR="0242D185" w:rsidP="0242D185" w:rsidRDefault="0242D185" w14:paraId="430F0717" w14:textId="0B718770">
            <w:pPr>
              <w:pStyle w:val="Normal"/>
            </w:pPr>
            <w:r w:rsidRPr="0242D185" w:rsidR="0242D185">
              <w:rPr>
                <w:rFonts w:ascii="Calibri" w:hAnsi="Calibri" w:eastAsia="Calibri" w:cs="Calibri"/>
                <w:sz w:val="20"/>
                <w:szCs w:val="20"/>
              </w:rPr>
              <w:t>Italien</w:t>
            </w:r>
          </w:p>
        </w:tc>
        <w:tc>
          <w:tcPr>
            <w:tcW w:w="6300" w:type="dxa"/>
            <w:tcMar/>
          </w:tcPr>
          <w:p w:rsidR="0242D185" w:rsidP="0242D185" w:rsidRDefault="0242D185" w14:paraId="53DCB50F" w14:textId="009A143D">
            <w:pPr>
              <w:pStyle w:val="Normal"/>
            </w:pPr>
            <w:r w:rsidRPr="0242D185" w:rsidR="0242D185">
              <w:rPr>
                <w:rFonts w:ascii="Calibri" w:hAnsi="Calibri" w:eastAsia="Calibri" w:cs="Calibri"/>
                <w:sz w:val="20"/>
                <w:szCs w:val="20"/>
              </w:rPr>
              <w:t>Info_it@pruftechnik.com</w:t>
            </w:r>
            <w:r>
              <w:br/>
            </w:r>
            <w:r w:rsidRPr="0242D185" w:rsidR="0242D185">
              <w:rPr>
                <w:rFonts w:ascii="Calibri" w:hAnsi="Calibri" w:eastAsia="Calibri" w:cs="Calibri"/>
                <w:sz w:val="20"/>
                <w:szCs w:val="20"/>
              </w:rPr>
              <w:t>Fluke Italie SRL, Piazzale Francesco Baracca 1, 20123 Milano, Italien</w:t>
            </w:r>
          </w:p>
        </w:tc>
      </w:tr>
      <w:tr w:rsidR="0242D185" w:rsidTr="0242D185" w14:paraId="51CA2B03">
        <w:tc>
          <w:tcPr>
            <w:tcW w:w="2700" w:type="dxa"/>
            <w:tcMar/>
          </w:tcPr>
          <w:p w:rsidR="0242D185" w:rsidP="0242D185" w:rsidRDefault="0242D185" w14:paraId="25211B58" w14:textId="46B256BB">
            <w:pPr>
              <w:pStyle w:val="Normal"/>
            </w:pPr>
            <w:r w:rsidRPr="0242D185" w:rsidR="0242D185">
              <w:rPr>
                <w:rFonts w:ascii="Calibri" w:hAnsi="Calibri" w:eastAsia="Calibri" w:cs="Calibri"/>
                <w:sz w:val="20"/>
                <w:szCs w:val="20"/>
              </w:rPr>
              <w:t>Spanien</w:t>
            </w:r>
          </w:p>
        </w:tc>
        <w:tc>
          <w:tcPr>
            <w:tcW w:w="6300" w:type="dxa"/>
            <w:tcMar/>
          </w:tcPr>
          <w:p w:rsidR="0242D185" w:rsidP="0242D185" w:rsidRDefault="0242D185" w14:paraId="7D601479" w14:textId="75DC787B">
            <w:pPr>
              <w:pStyle w:val="Normal"/>
            </w:pPr>
            <w:r w:rsidRPr="0242D185" w:rsidR="0242D185">
              <w:rPr>
                <w:rFonts w:ascii="Calibri" w:hAnsi="Calibri" w:eastAsia="Calibri" w:cs="Calibri"/>
                <w:sz w:val="20"/>
                <w:szCs w:val="20"/>
              </w:rPr>
              <w:t>contacto@pruftechnik.com</w:t>
            </w:r>
            <w:r>
              <w:br/>
            </w:r>
            <w:r w:rsidRPr="0242D185" w:rsidR="0242D185">
              <w:rPr>
                <w:rFonts w:ascii="Calibri" w:hAnsi="Calibri" w:eastAsia="Calibri" w:cs="Calibri"/>
                <w:sz w:val="20"/>
                <w:szCs w:val="20"/>
              </w:rPr>
              <w:t>FLUKE IBERICA S.L., Avenida de la Industria, 32, 28108 Alcobendas, Madrid, Spanien</w:t>
            </w:r>
          </w:p>
        </w:tc>
      </w:tr>
      <w:tr w:rsidR="0242D185" w:rsidTr="0242D185" w14:paraId="6D22373E">
        <w:tc>
          <w:tcPr>
            <w:tcW w:w="2700" w:type="dxa"/>
            <w:tcMar/>
          </w:tcPr>
          <w:p w:rsidR="0242D185" w:rsidP="0242D185" w:rsidRDefault="0242D185" w14:paraId="6761E22D" w14:textId="7FD14D5C">
            <w:pPr>
              <w:pStyle w:val="Normal"/>
            </w:pPr>
            <w:r w:rsidRPr="0242D185" w:rsidR="0242D185">
              <w:rPr>
                <w:rFonts w:ascii="Calibri" w:hAnsi="Calibri" w:eastAsia="Calibri" w:cs="Calibri"/>
                <w:sz w:val="20"/>
                <w:szCs w:val="20"/>
              </w:rPr>
              <w:t>Portugal</w:t>
            </w:r>
          </w:p>
        </w:tc>
        <w:tc>
          <w:tcPr>
            <w:tcW w:w="6300" w:type="dxa"/>
            <w:tcMar/>
          </w:tcPr>
          <w:p w:rsidR="0242D185" w:rsidP="0242D185" w:rsidRDefault="0242D185" w14:paraId="0EBF30A3" w14:textId="3CC9EE36">
            <w:pPr>
              <w:pStyle w:val="Normal"/>
            </w:pPr>
            <w:r w:rsidRPr="0242D185" w:rsidR="0242D185">
              <w:rPr>
                <w:rFonts w:ascii="Calibri" w:hAnsi="Calibri" w:eastAsia="Calibri" w:cs="Calibri"/>
                <w:sz w:val="20"/>
                <w:szCs w:val="20"/>
              </w:rPr>
              <w:t>contacto@pruftechnik.com</w:t>
            </w:r>
            <w:r>
              <w:br/>
            </w:r>
            <w:r w:rsidRPr="0242D185" w:rsidR="0242D185">
              <w:rPr>
                <w:rFonts w:ascii="Calibri" w:hAnsi="Calibri" w:eastAsia="Calibri" w:cs="Calibri"/>
                <w:sz w:val="20"/>
                <w:szCs w:val="20"/>
              </w:rPr>
              <w:t>Fluke Europe B.V., BIC 1, 5657 BX Eindhoven, Niederlande</w:t>
            </w:r>
          </w:p>
        </w:tc>
      </w:tr>
      <w:tr w:rsidR="0242D185" w:rsidTr="0242D185" w14:paraId="3808B55C">
        <w:tc>
          <w:tcPr>
            <w:tcW w:w="2700" w:type="dxa"/>
            <w:tcMar/>
          </w:tcPr>
          <w:p w:rsidR="0242D185" w:rsidP="0242D185" w:rsidRDefault="0242D185" w14:paraId="5F1DD94A" w14:textId="47713C7A">
            <w:pPr>
              <w:pStyle w:val="Normal"/>
            </w:pPr>
            <w:r w:rsidRPr="0242D185" w:rsidR="0242D185">
              <w:rPr>
                <w:rFonts w:ascii="Calibri" w:hAnsi="Calibri" w:eastAsia="Calibri" w:cs="Calibri"/>
                <w:sz w:val="20"/>
                <w:szCs w:val="20"/>
              </w:rPr>
              <w:t>Polen</w:t>
            </w:r>
          </w:p>
        </w:tc>
        <w:tc>
          <w:tcPr>
            <w:tcW w:w="6300" w:type="dxa"/>
            <w:tcMar/>
          </w:tcPr>
          <w:p w:rsidR="0242D185" w:rsidP="0242D185" w:rsidRDefault="0242D185" w14:paraId="32EAFD94" w14:textId="28521448">
            <w:pPr>
              <w:pStyle w:val="Normal"/>
            </w:pPr>
            <w:r w:rsidRPr="0242D185" w:rsidR="0242D185">
              <w:rPr>
                <w:rFonts w:ascii="Calibri" w:hAnsi="Calibri" w:eastAsia="Calibri" w:cs="Calibri"/>
                <w:sz w:val="20"/>
                <w:szCs w:val="20"/>
              </w:rPr>
              <w:t>info_pl@pruftechnik.com</w:t>
            </w:r>
            <w:r>
              <w:br/>
            </w:r>
            <w:r w:rsidRPr="0242D185" w:rsidR="0242D185">
              <w:rPr>
                <w:rFonts w:ascii="Calibri" w:hAnsi="Calibri" w:eastAsia="Calibri" w:cs="Calibri"/>
                <w:sz w:val="20"/>
                <w:szCs w:val="20"/>
              </w:rPr>
              <w:t>Pruftechnik Wibrem Sp. z o.o., ul. Bolkowska 3, 53-612 Wroclaw</w:t>
            </w:r>
          </w:p>
        </w:tc>
      </w:tr>
      <w:tr w:rsidR="0242D185" w:rsidTr="0242D185" w14:paraId="67255EAD">
        <w:tc>
          <w:tcPr>
            <w:tcW w:w="2700" w:type="dxa"/>
            <w:tcMar/>
          </w:tcPr>
          <w:p w:rsidR="0242D185" w:rsidP="0242D185" w:rsidRDefault="0242D185" w14:paraId="4B7730E2" w14:textId="0E4C1E1F">
            <w:pPr>
              <w:pStyle w:val="Normal"/>
            </w:pPr>
            <w:r w:rsidRPr="0242D185" w:rsidR="0242D185">
              <w:rPr>
                <w:rFonts w:ascii="Calibri" w:hAnsi="Calibri" w:eastAsia="Calibri" w:cs="Calibri"/>
                <w:sz w:val="20"/>
                <w:szCs w:val="20"/>
              </w:rPr>
              <w:t>Nordics</w:t>
            </w:r>
          </w:p>
        </w:tc>
        <w:tc>
          <w:tcPr>
            <w:tcW w:w="6300" w:type="dxa"/>
            <w:tcMar/>
          </w:tcPr>
          <w:p w:rsidR="0242D185" w:rsidP="0242D185" w:rsidRDefault="0242D185" w14:paraId="7618B2BC" w14:textId="7871595C">
            <w:pPr>
              <w:pStyle w:val="Normal"/>
            </w:pPr>
            <w:r w:rsidRPr="0242D185" w:rsidR="0242D185">
              <w:rPr>
                <w:rFonts w:ascii="Calibri" w:hAnsi="Calibri" w:eastAsia="Calibri" w:cs="Calibri"/>
                <w:sz w:val="20"/>
                <w:szCs w:val="20"/>
              </w:rPr>
              <w:t>iss.Nordics@fluke.com / roc.norway@fluke.com</w:t>
            </w:r>
            <w:r>
              <w:br/>
            </w:r>
            <w:r w:rsidRPr="0242D185" w:rsidR="0242D185">
              <w:rPr>
                <w:rFonts w:ascii="Calibri" w:hAnsi="Calibri" w:eastAsia="Calibri" w:cs="Calibri"/>
                <w:sz w:val="20"/>
                <w:szCs w:val="20"/>
              </w:rPr>
              <w:t>Norwegen: Fluke Norge A/s, c/o Regus Posthuset, Level 4 Biskop Gunnerus' gate 14A, Oslo, 0185, Norwegen</w:t>
            </w:r>
            <w:r>
              <w:br/>
            </w:r>
            <w:r w:rsidRPr="0242D185" w:rsidR="0242D185">
              <w:rPr>
                <w:rFonts w:ascii="Calibri" w:hAnsi="Calibri" w:eastAsia="Calibri" w:cs="Calibri"/>
                <w:sz w:val="20"/>
                <w:szCs w:val="20"/>
              </w:rPr>
              <w:t>Dänemark: Fluke Danmark A/S, C/o Regus, Herstedøstervej 27-29, Unit A DK-2620 Albertslund, 2620 Kopenhagen, Dänemark</w:t>
            </w:r>
            <w:r>
              <w:br/>
            </w:r>
            <w:r w:rsidRPr="0242D185" w:rsidR="0242D185">
              <w:rPr>
                <w:rFonts w:ascii="Calibri" w:hAnsi="Calibri" w:eastAsia="Calibri" w:cs="Calibri"/>
                <w:sz w:val="20"/>
                <w:szCs w:val="20"/>
              </w:rPr>
              <w:t>Finnland: Fluke Finland OY, Teknobulevardi 3-5, 01530 Vantaa, Finnland</w:t>
            </w:r>
            <w:r>
              <w:br/>
            </w:r>
            <w:r w:rsidRPr="0242D185" w:rsidR="0242D185">
              <w:rPr>
                <w:rFonts w:ascii="Calibri" w:hAnsi="Calibri" w:eastAsia="Calibri" w:cs="Calibri"/>
                <w:sz w:val="20"/>
                <w:szCs w:val="20"/>
              </w:rPr>
              <w:t>Schweden: Fluke Sverige AB, Björklundabacken 10, 436 57 Hovås, Stockholm, Schweden</w:t>
            </w:r>
          </w:p>
        </w:tc>
      </w:tr>
      <w:tr w:rsidR="0242D185" w:rsidTr="0242D185" w14:paraId="0075E875">
        <w:tc>
          <w:tcPr>
            <w:tcW w:w="2700" w:type="dxa"/>
            <w:tcMar/>
          </w:tcPr>
          <w:p w:rsidR="0242D185" w:rsidP="0242D185" w:rsidRDefault="0242D185" w14:paraId="63C8143F" w14:textId="3D66D7F6">
            <w:pPr>
              <w:pStyle w:val="Normal"/>
            </w:pPr>
            <w:r w:rsidRPr="0242D185" w:rsidR="0242D185">
              <w:rPr>
                <w:rFonts w:ascii="Calibri" w:hAnsi="Calibri" w:eastAsia="Calibri" w:cs="Calibri"/>
                <w:sz w:val="20"/>
                <w:szCs w:val="20"/>
              </w:rPr>
              <w:t>Algerien, Angola, Benin, Botswana, Burkina Faso, Kamerun, Tschad, Kongo, Ägypten, Äquatorialguinea, Eswatini, Gabun, Gambia, Ghana, Elfenbeinküste, Kenia, Lesotho, Liberia, Malawi, Mali, Mauritius, Marokko, Namibia, Nigeria, Ruanda, Senegal, Seychellen, Sierra Leone, Südafrika, Tansania, Togo, Tunesien, Uganda, Sambia, Simbabwe, Irak, Jordanien, Königreich Saudi-Arabien, Kuwait, Libyen, Oman, Katar und Vereinigte Arabische Emirate</w:t>
            </w:r>
          </w:p>
        </w:tc>
        <w:tc>
          <w:tcPr>
            <w:tcW w:w="6300" w:type="dxa"/>
            <w:tcMar/>
          </w:tcPr>
          <w:p w:rsidR="0242D185" w:rsidP="0242D185" w:rsidRDefault="0242D185" w14:paraId="39E00D77" w14:textId="112203CF">
            <w:pPr>
              <w:pStyle w:val="Normal"/>
            </w:pPr>
            <w:r w:rsidRPr="0242D185" w:rsidR="0242D185">
              <w:rPr>
                <w:rFonts w:ascii="Calibri" w:hAnsi="Calibri" w:eastAsia="Calibri" w:cs="Calibri"/>
                <w:sz w:val="20"/>
                <w:szCs w:val="20"/>
              </w:rPr>
              <w:t>ptme@pruftechnik.com</w:t>
            </w:r>
            <w:r>
              <w:br/>
            </w:r>
            <w:r w:rsidRPr="0242D185" w:rsidR="0242D185">
              <w:rPr>
                <w:rFonts w:ascii="Calibri" w:hAnsi="Calibri" w:eastAsia="Calibri" w:cs="Calibri"/>
                <w:sz w:val="20"/>
                <w:szCs w:val="20"/>
              </w:rPr>
              <w:t>Fluke Europe B.V., BIC 1, 5657 BX Eindhoven, Niederlande</w:t>
            </w:r>
          </w:p>
        </w:tc>
      </w:tr>
      <w:tr w:rsidR="0242D185" w:rsidTr="0242D185" w14:paraId="6B9982C6">
        <w:tc>
          <w:tcPr>
            <w:tcW w:w="2700" w:type="dxa"/>
            <w:tcMar/>
          </w:tcPr>
          <w:p w:rsidR="0242D185" w:rsidP="0242D185" w:rsidRDefault="0242D185" w14:paraId="7BB68284" w14:textId="11701392">
            <w:pPr>
              <w:pStyle w:val="Normal"/>
            </w:pPr>
            <w:r w:rsidRPr="0242D185" w:rsidR="0242D185">
              <w:rPr>
                <w:rFonts w:ascii="Calibri" w:hAnsi="Calibri" w:eastAsia="Calibri" w:cs="Calibri"/>
                <w:sz w:val="20"/>
                <w:szCs w:val="20"/>
              </w:rPr>
              <w:t>Türkei</w:t>
            </w:r>
          </w:p>
        </w:tc>
        <w:tc>
          <w:tcPr>
            <w:tcW w:w="6300" w:type="dxa"/>
            <w:tcMar/>
          </w:tcPr>
          <w:p w:rsidR="0242D185" w:rsidP="0242D185" w:rsidRDefault="0242D185" w14:paraId="53A90E3C" w14:textId="79CA1DD6">
            <w:pPr>
              <w:pStyle w:val="Normal"/>
            </w:pPr>
            <w:r w:rsidRPr="0242D185" w:rsidR="0242D185">
              <w:rPr>
                <w:rFonts w:ascii="Calibri" w:hAnsi="Calibri" w:eastAsia="Calibri" w:cs="Calibri"/>
                <w:sz w:val="20"/>
                <w:szCs w:val="20"/>
              </w:rPr>
              <w:t>ptme@pruftechnik.com</w:t>
            </w:r>
            <w:r>
              <w:br/>
            </w:r>
            <w:r w:rsidRPr="0242D185" w:rsidR="0242D185">
              <w:rPr>
                <w:rFonts w:ascii="Calibri" w:hAnsi="Calibri" w:eastAsia="Calibri" w:cs="Calibri"/>
                <w:sz w:val="20"/>
                <w:szCs w:val="20"/>
              </w:rPr>
              <w:t>PRÜFTECHNIK Proaktif Bakim Teknolojileri Ve Hizmetleri Sanayi Ve Ticaret Limited Sirketi, C/o Regus, Barbaros Mah. Halk Cad. Palladium Residence (A Blok) No: 8A Interior Door No: 3 Ataşehir / İstanbul, Türkei</w:t>
            </w:r>
          </w:p>
        </w:tc>
      </w:tr>
    </w:tbl>
    <w:p w:rsidR="0242D185" w:rsidP="0242D185" w:rsidRDefault="0242D185" w14:paraId="4C0CB520" w14:textId="0BA2EC20">
      <w:pPr>
        <w:pStyle w:val="Normal"/>
      </w:pPr>
    </w:p>
    <w:p w:rsidRPr="007547E0" w:rsidR="00E61D8E" w:rsidP="007547E0" w:rsidRDefault="00E61D8E" w14:paraId="3A39D6FB" w14:textId="77777777">
      <w:pPr>
        <w:rPr>
          <w:rFonts w:asciiTheme="minorHAnsi" w:hAnsiTheme="minorHAnsi" w:cstheme="minorHAnsi"/>
          <w:lang w:val="en-GB"/>
        </w:rPr>
      </w:pPr>
    </w:p>
    <w:sectPr w:rsidRPr="007547E0" w:rsidR="00E61D8E" w:rsidSect="004B64E2">
      <w:headerReference w:type="default" r:id="rId11"/>
      <w:footerReference w:type="default" r:id="rId12"/>
      <w:pgSz w:w="11906" w:h="16838" w:orient="portrait" w:code="9"/>
      <w:pgMar w:top="1440" w:right="1152" w:bottom="360" w:left="1800" w:header="864"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5A24" w:rsidRDefault="00BC5A24" w14:paraId="25F39757" w14:textId="77777777">
      <w:r>
        <w:separator/>
      </w:r>
    </w:p>
  </w:endnote>
  <w:endnote w:type="continuationSeparator" w:id="0">
    <w:p w:rsidR="00BC5A24" w:rsidRDefault="00BC5A24" w14:paraId="1292DF87" w14:textId="77777777">
      <w:r>
        <w:continuationSeparator/>
      </w:r>
    </w:p>
  </w:endnote>
  <w:endnote w:type="continuationNotice" w:id="1">
    <w:p w:rsidR="00BC5A24" w:rsidRDefault="00BC5A24" w14:paraId="3DB2D4C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64E2" w:rsidP="004B64E2" w:rsidRDefault="004B64E2" w14:paraId="4982FEBD" w14:textId="77777777">
    <w:pPr>
      <w:pStyle w:val="Footer"/>
      <w:jc w:val="right"/>
      <w:rPr>
        <w:color w:val="767171" w:themeColor="background2" w:themeShade="80"/>
        <w:sz w:val="18"/>
        <w:szCs w:val="18"/>
      </w:rPr>
    </w:pPr>
  </w:p>
  <w:tbl>
    <w:tblPr>
      <w:tblW w:w="9082" w:type="dxa"/>
      <w:tblCellSpacing w:w="15" w:type="dxa"/>
      <w:tblCellMar>
        <w:top w:w="15" w:type="dxa"/>
        <w:left w:w="15" w:type="dxa"/>
        <w:bottom w:w="15" w:type="dxa"/>
        <w:right w:w="15" w:type="dxa"/>
      </w:tblCellMar>
      <w:tblLook w:val="04A0" w:firstRow="1" w:lastRow="0" w:firstColumn="1" w:lastColumn="0" w:noHBand="0" w:noVBand="1"/>
    </w:tblPr>
    <w:tblGrid>
      <w:gridCol w:w="7200"/>
      <w:gridCol w:w="1882"/>
    </w:tblGrid>
    <w:tr w:rsidRPr="004B64E2" w:rsidR="004B64E2" w:rsidTr="321E0D92" w14:paraId="2B07797D" w14:textId="77777777">
      <w:trPr>
        <w:tblCellSpacing w:w="15" w:type="dxa"/>
      </w:trPr>
      <w:tc>
        <w:tcPr>
          <w:tcW w:w="7155" w:type="dxa"/>
          <w:shd w:val="clear" w:color="auto" w:fill="FFFFFF" w:themeFill="background1"/>
          <w:tcMar/>
          <w:vAlign w:val="center"/>
          <w:hideMark/>
        </w:tcPr>
        <w:p w:rsidRPr="004B64E2" w:rsidR="004B64E2" w:rsidP="321E0D92" w:rsidRDefault="004B64E2" w14:paraId="7B9617EC" w14:textId="69F63A50">
          <w:pPr>
            <w:pStyle w:val="Footer"/>
            <w:suppressLineNumbers w:val="0"/>
            <w:bidi w:val="0"/>
            <w:spacing w:before="0" w:beforeAutospacing="off" w:after="0" w:afterAutospacing="off" w:line="259" w:lineRule="auto"/>
            <w:ind w:left="0" w:right="0"/>
            <w:jc w:val="right"/>
            <w:rPr>
              <w:noProof w:val="0"/>
              <w:color w:val="767171" w:themeColor="background2" w:themeTint="FF" w:themeShade="80"/>
              <w:sz w:val="18"/>
              <w:szCs w:val="18"/>
              <w:lang w:val="de-DE"/>
            </w:rPr>
          </w:pPr>
          <w:r w:rsidRPr="321E0D92" w:rsidR="321E0D92">
            <w:rPr>
              <w:noProof w:val="0"/>
              <w:color w:val="767171" w:themeColor="background2" w:themeTint="FF" w:themeShade="80"/>
              <w:sz w:val="18"/>
              <w:szCs w:val="18"/>
              <w:lang w:val="de-DE"/>
            </w:rPr>
            <w:t>Fluke Deutschland GmbH</w:t>
          </w:r>
        </w:p>
      </w:tc>
      <w:tc>
        <w:tcPr>
          <w:tcW w:w="1837" w:type="dxa"/>
          <w:tcMar/>
          <w:vAlign w:val="center"/>
          <w:hideMark/>
        </w:tcPr>
        <w:p w:rsidRPr="004B64E2" w:rsidR="004B64E2" w:rsidP="321E0D92" w:rsidRDefault="004B64E2" w14:paraId="4820BD35" w14:textId="0A2D58F6">
          <w:pPr>
            <w:pStyle w:val="Footer"/>
            <w:suppressLineNumbers w:val="0"/>
            <w:bidi w:val="0"/>
            <w:spacing w:before="0" w:beforeAutospacing="off" w:after="0" w:afterAutospacing="off" w:line="259" w:lineRule="auto"/>
            <w:ind w:left="0" w:right="0"/>
            <w:jc w:val="right"/>
            <w:rPr>
              <w:noProof w:val="0"/>
              <w:color w:val="767171" w:themeColor="background2" w:themeTint="FF" w:themeShade="80"/>
              <w:sz w:val="18"/>
              <w:szCs w:val="18"/>
              <w:lang w:val="de-DE"/>
            </w:rPr>
          </w:pPr>
          <w:hyperlink r:id="R94f599c0dd9c4e0d">
            <w:r w:rsidRPr="321E0D92" w:rsidR="321E0D92">
              <w:rPr>
                <w:noProof w:val="0"/>
                <w:color w:val="767171" w:themeColor="background2" w:themeTint="FF" w:themeShade="80"/>
                <w:sz w:val="18"/>
                <w:szCs w:val="18"/>
                <w:lang w:val="en-US"/>
              </w:rPr>
              <w:t>sales.de@fluke.com</w:t>
            </w:r>
          </w:hyperlink>
        </w:p>
      </w:tc>
    </w:tr>
    <w:tr w:rsidRPr="004B64E2" w:rsidR="004B64E2" w:rsidTr="321E0D92" w14:paraId="3D43CEAB" w14:textId="77777777">
      <w:trPr>
        <w:tblCellSpacing w:w="15" w:type="dxa"/>
      </w:trPr>
      <w:tc>
        <w:tcPr>
          <w:tcW w:w="7155" w:type="dxa"/>
          <w:tcMar/>
          <w:vAlign w:val="center"/>
          <w:hideMark/>
        </w:tcPr>
        <w:p w:rsidRPr="004B64E2" w:rsidR="004B64E2" w:rsidP="321E0D92" w:rsidRDefault="004B64E2" w14:paraId="58CC8514" w14:textId="523E8C54">
          <w:pPr>
            <w:pStyle w:val="Footer"/>
            <w:suppressLineNumbers w:val="0"/>
            <w:bidi w:val="0"/>
            <w:spacing w:before="0" w:beforeAutospacing="off" w:after="0" w:afterAutospacing="off" w:line="259" w:lineRule="auto"/>
            <w:ind w:left="0" w:right="0"/>
            <w:jc w:val="right"/>
            <w:rPr>
              <w:noProof w:val="0"/>
              <w:color w:val="767171" w:themeColor="background2" w:themeTint="FF" w:themeShade="80"/>
              <w:sz w:val="18"/>
              <w:szCs w:val="18"/>
              <w:lang w:val="de-DE"/>
            </w:rPr>
          </w:pPr>
          <w:r w:rsidRPr="321E0D92" w:rsidR="321E0D92">
            <w:rPr>
              <w:noProof w:val="0"/>
              <w:color w:val="767171" w:themeColor="background2" w:themeTint="FF" w:themeShade="80"/>
              <w:sz w:val="18"/>
              <w:szCs w:val="18"/>
              <w:lang w:val="de-DE"/>
            </w:rPr>
            <w:t xml:space="preserve">Freisinger Str. 34, 85737 </w:t>
          </w:r>
          <w:r w:rsidRPr="321E0D92" w:rsidR="321E0D92">
            <w:rPr>
              <w:noProof w:val="0"/>
              <w:color w:val="767171" w:themeColor="background2" w:themeTint="FF" w:themeShade="80"/>
              <w:sz w:val="18"/>
              <w:szCs w:val="18"/>
              <w:lang w:val="de-DE"/>
            </w:rPr>
            <w:t>Ismaning</w:t>
          </w:r>
        </w:p>
      </w:tc>
      <w:tc>
        <w:tcPr>
          <w:tcW w:w="1837" w:type="dxa"/>
          <w:tcMar/>
          <w:vAlign w:val="center"/>
          <w:hideMark/>
        </w:tcPr>
        <w:p w:rsidRPr="004B64E2" w:rsidR="004B64E2" w:rsidP="321E0D92" w:rsidRDefault="004B64E2" w14:paraId="391A33D9" w14:textId="508EEA02">
          <w:pPr>
            <w:pStyle w:val="Footer"/>
            <w:suppressLineNumbers w:val="0"/>
            <w:bidi w:val="0"/>
            <w:spacing w:before="0" w:beforeAutospacing="off" w:after="0" w:afterAutospacing="off" w:line="259" w:lineRule="auto"/>
            <w:ind w:left="0" w:right="0"/>
            <w:jc w:val="right"/>
            <w:rPr>
              <w:color w:val="767171" w:themeColor="background2" w:themeTint="FF" w:themeShade="80"/>
              <w:sz w:val="18"/>
              <w:szCs w:val="18"/>
            </w:rPr>
          </w:pPr>
          <w:r w:rsidRPr="321E0D92" w:rsidR="0CF8CBB0">
            <w:rPr>
              <w:color w:val="767171" w:themeColor="background2" w:themeTint="FF" w:themeShade="80"/>
              <w:sz w:val="18"/>
              <w:szCs w:val="18"/>
            </w:rPr>
            <w:t>www.fluke.com</w:t>
          </w:r>
          <w:r w:rsidRPr="321E0D92" w:rsidR="321E0D92">
            <w:rPr>
              <w:color w:val="767171" w:themeColor="background2" w:themeTint="FF" w:themeShade="80"/>
              <w:sz w:val="18"/>
              <w:szCs w:val="18"/>
            </w:rPr>
            <w:t>/de-de</w:t>
          </w:r>
        </w:p>
      </w:tc>
    </w:tr>
    <w:tr w:rsidRPr="004B64E2" w:rsidR="004B64E2" w:rsidTr="321E0D92" w14:paraId="7C2EE9DB" w14:textId="77777777">
      <w:trPr>
        <w:tblCellSpacing w:w="15" w:type="dxa"/>
      </w:trPr>
      <w:tc>
        <w:tcPr>
          <w:tcW w:w="7155" w:type="dxa"/>
          <w:tcMar/>
          <w:vAlign w:val="center"/>
          <w:hideMark/>
        </w:tcPr>
        <w:p w:rsidRPr="004B64E2" w:rsidR="004B64E2" w:rsidP="004B64E2" w:rsidRDefault="004B64E2" w14:paraId="6D5C50DB" w14:textId="37218416">
          <w:pPr>
            <w:pStyle w:val="Footer"/>
            <w:jc w:val="right"/>
            <w:rPr>
              <w:color w:val="767171" w:themeColor="background2" w:themeShade="80"/>
              <w:sz w:val="18"/>
              <w:szCs w:val="18"/>
            </w:rPr>
          </w:pPr>
        </w:p>
      </w:tc>
      <w:tc>
        <w:tcPr>
          <w:tcW w:w="1837" w:type="dxa"/>
          <w:tcMar/>
          <w:vAlign w:val="center"/>
          <w:hideMark/>
        </w:tcPr>
        <w:p w:rsidRPr="004B64E2" w:rsidR="004B64E2" w:rsidP="004B64E2" w:rsidRDefault="004B64E2" w14:paraId="0996E07E" w14:textId="77777777">
          <w:pPr>
            <w:pStyle w:val="Footer"/>
            <w:jc w:val="right"/>
            <w:rPr>
              <w:color w:val="767171" w:themeColor="background2" w:themeShade="80"/>
              <w:sz w:val="18"/>
              <w:szCs w:val="18"/>
            </w:rPr>
          </w:pPr>
        </w:p>
      </w:tc>
    </w:tr>
  </w:tbl>
  <w:p w:rsidRPr="004B64E2" w:rsidR="00185C87" w:rsidP="004B64E2" w:rsidRDefault="00185C87" w14:paraId="20479D48" w14:textId="5E79A40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5A24" w:rsidRDefault="00BC5A24" w14:paraId="5128E584" w14:textId="77777777">
      <w:r>
        <w:separator/>
      </w:r>
    </w:p>
  </w:footnote>
  <w:footnote w:type="continuationSeparator" w:id="0">
    <w:p w:rsidR="00BC5A24" w:rsidRDefault="00BC5A24" w14:paraId="147CF762" w14:textId="77777777">
      <w:r>
        <w:continuationSeparator/>
      </w:r>
    </w:p>
  </w:footnote>
  <w:footnote w:type="continuationNotice" w:id="1">
    <w:p w:rsidR="00BC5A24" w:rsidRDefault="00BC5A24" w14:paraId="2A04CAB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85C87" w:rsidP="00337850" w:rsidRDefault="00337850" w14:paraId="02656090" w14:textId="28FEA28E">
    <w:pPr>
      <w:pStyle w:val="Header"/>
      <w:jc w:val="right"/>
    </w:pPr>
    <w:r>
      <w:drawing>
        <wp:anchor distT="0" distB="0" distL="114300" distR="114300" simplePos="0" relativeHeight="251659267" behindDoc="1" locked="0" layoutInCell="1" allowOverlap="1" wp14:anchorId="52077A47" wp14:editId="160BBC62">
          <wp:simplePos x="0" y="0"/>
          <wp:positionH relativeFrom="column">
            <wp:posOffset>4724400</wp:posOffset>
          </wp:positionH>
          <wp:positionV relativeFrom="paragraph">
            <wp:posOffset>-426720</wp:posOffset>
          </wp:positionV>
          <wp:extent cx="1560830" cy="800100"/>
          <wp:effectExtent l="0" t="0" r="1270" b="0"/>
          <wp:wrapTight wrapText="bothSides">
            <wp:wrapPolygon edited="0">
              <wp:start x="1318" y="2057"/>
              <wp:lineTo x="1318" y="13886"/>
              <wp:lineTo x="2373" y="18514"/>
              <wp:lineTo x="2900" y="19543"/>
              <wp:lineTo x="13709" y="19543"/>
              <wp:lineTo x="21354" y="15429"/>
              <wp:lineTo x="21354" y="2057"/>
              <wp:lineTo x="1318" y="2057"/>
            </wp:wrapPolygon>
          </wp:wrapTight>
          <wp:docPr id="1117043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830" cy="8001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185C87" w:rsidRDefault="00185C87" w14:paraId="063620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61EBD"/>
    <w:multiLevelType w:val="hybridMultilevel"/>
    <w:tmpl w:val="465EE834"/>
    <w:lvl w:ilvl="0" w:tplc="04090019">
      <w:start w:val="1"/>
      <w:numFmt w:val="lowerLetter"/>
      <w:lvlText w:val="%1."/>
      <w:lvlJc w:val="left"/>
      <w:pPr>
        <w:ind w:left="108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504D68E3"/>
    <w:multiLevelType w:val="multilevel"/>
    <w:tmpl w:val="201E7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3AC1449"/>
    <w:multiLevelType w:val="multilevel"/>
    <w:tmpl w:val="87008BC8"/>
    <w:name w:val="zzmpOutline||Outline|2|3|1|1|12|1||1|12|0||1|12|1||1|12|1||1|12|1||1|12|1||1|12|1||1|12|1||1|12|1||"/>
    <w:lvl w:ilvl="0">
      <w:start w:val="1"/>
      <w:numFmt w:val="decimal"/>
      <w:pStyle w:val="OutlineL1"/>
      <w:lvlText w:val="%1."/>
      <w:lvlJc w:val="left"/>
      <w:pPr>
        <w:tabs>
          <w:tab w:val="num" w:pos="1008"/>
        </w:tabs>
        <w:ind w:left="864" w:hanging="432"/>
      </w:pPr>
      <w:rPr>
        <w:b w:val="0"/>
        <w:i w:val="0"/>
        <w:caps w:val="0"/>
        <w:smallCaps w:val="0"/>
        <w:u w:val="none"/>
      </w:rPr>
    </w:lvl>
    <w:lvl w:ilvl="1">
      <w:start w:val="1"/>
      <w:numFmt w:val="lowerLetter"/>
      <w:pStyle w:val="OutlineL2"/>
      <w:lvlText w:val="%2."/>
      <w:lvlJc w:val="left"/>
      <w:pPr>
        <w:tabs>
          <w:tab w:val="num" w:pos="1296"/>
        </w:tabs>
        <w:ind w:left="1296" w:hanging="576"/>
      </w:pPr>
      <w:rPr>
        <w:b w:val="0"/>
        <w:i w:val="0"/>
        <w:caps w:val="0"/>
        <w:u w:val="none"/>
      </w:rPr>
    </w:lvl>
    <w:lvl w:ilvl="2">
      <w:start w:val="1"/>
      <w:numFmt w:val="decimal"/>
      <w:pStyle w:val="OutlineL3"/>
      <w:lvlText w:val="%3."/>
      <w:lvlJc w:val="left"/>
      <w:pPr>
        <w:tabs>
          <w:tab w:val="num" w:pos="2160"/>
        </w:tabs>
        <w:ind w:left="0" w:firstLine="1440"/>
      </w:pPr>
      <w:rPr>
        <w:b/>
        <w:i w:val="0"/>
        <w:caps w:val="0"/>
        <w:u w:val="none"/>
      </w:rPr>
    </w:lvl>
    <w:lvl w:ilvl="3">
      <w:start w:val="1"/>
      <w:numFmt w:val="lowerLetter"/>
      <w:pStyle w:val="OutlineL4"/>
      <w:lvlText w:val="%4."/>
      <w:lvlJc w:val="left"/>
      <w:pPr>
        <w:tabs>
          <w:tab w:val="num" w:pos="2880"/>
        </w:tabs>
        <w:ind w:left="0" w:firstLine="2160"/>
      </w:pPr>
      <w:rPr>
        <w:b/>
        <w:i w:val="0"/>
        <w:caps w:val="0"/>
        <w:u w:val="none"/>
      </w:rPr>
    </w:lvl>
    <w:lvl w:ilvl="4">
      <w:start w:val="1"/>
      <w:numFmt w:val="lowerRoman"/>
      <w:pStyle w:val="OutlineL5"/>
      <w:lvlText w:val="(%5)"/>
      <w:lvlJc w:val="left"/>
      <w:pPr>
        <w:tabs>
          <w:tab w:val="num" w:pos="3600"/>
        </w:tabs>
        <w:ind w:left="0" w:firstLine="2880"/>
      </w:pPr>
      <w:rPr>
        <w:b/>
        <w:i w:val="0"/>
        <w:caps w:val="0"/>
        <w:u w:val="none"/>
      </w:rPr>
    </w:lvl>
    <w:lvl w:ilvl="5">
      <w:start w:val="1"/>
      <w:numFmt w:val="lowerLetter"/>
      <w:pStyle w:val="OutlineL6"/>
      <w:lvlText w:val="(%6)"/>
      <w:lvlJc w:val="left"/>
      <w:pPr>
        <w:tabs>
          <w:tab w:val="num" w:pos="4320"/>
        </w:tabs>
        <w:ind w:left="0" w:firstLine="3600"/>
      </w:pPr>
      <w:rPr>
        <w:b/>
        <w:i w:val="0"/>
        <w:caps w:val="0"/>
        <w:u w:val="none"/>
      </w:rPr>
    </w:lvl>
    <w:lvl w:ilvl="6">
      <w:start w:val="1"/>
      <w:numFmt w:val="decimal"/>
      <w:pStyle w:val="OutlineL7"/>
      <w:lvlText w:val="(%7)"/>
      <w:lvlJc w:val="left"/>
      <w:pPr>
        <w:tabs>
          <w:tab w:val="num" w:pos="5040"/>
        </w:tabs>
        <w:ind w:left="0" w:firstLine="4320"/>
      </w:pPr>
      <w:rPr>
        <w:b/>
        <w:i w:val="0"/>
        <w:caps w:val="0"/>
        <w:u w:val="none"/>
      </w:rPr>
    </w:lvl>
    <w:lvl w:ilvl="7">
      <w:start w:val="1"/>
      <w:numFmt w:val="lowerRoman"/>
      <w:pStyle w:val="OutlineL8"/>
      <w:lvlText w:val="%8)"/>
      <w:lvlJc w:val="left"/>
      <w:pPr>
        <w:tabs>
          <w:tab w:val="num" w:pos="5760"/>
        </w:tabs>
        <w:ind w:left="0" w:firstLine="5040"/>
      </w:pPr>
      <w:rPr>
        <w:b/>
        <w:i w:val="0"/>
        <w:caps w:val="0"/>
        <w:u w:val="none"/>
      </w:rPr>
    </w:lvl>
    <w:lvl w:ilvl="8">
      <w:start w:val="1"/>
      <w:numFmt w:val="lowerLetter"/>
      <w:pStyle w:val="OutlineL9"/>
      <w:lvlText w:val="%9)"/>
      <w:lvlJc w:val="left"/>
      <w:pPr>
        <w:tabs>
          <w:tab w:val="num" w:pos="6480"/>
        </w:tabs>
        <w:ind w:left="0" w:firstLine="5760"/>
      </w:pPr>
      <w:rPr>
        <w:b/>
        <w:i w:val="0"/>
        <w:caps w:val="0"/>
        <w:u w:val="none"/>
      </w:rPr>
    </w:lvl>
  </w:abstractNum>
  <w:abstractNum w:abstractNumId="3" w15:restartNumberingAfterBreak="0">
    <w:nsid w:val="6AA61E5C"/>
    <w:multiLevelType w:val="multilevel"/>
    <w:tmpl w:val="C590B8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03580721">
    <w:abstractNumId w:val="2"/>
  </w:num>
  <w:num w:numId="2" w16cid:durableId="2132622847">
    <w:abstractNumId w:val="0"/>
  </w:num>
  <w:num w:numId="3" w16cid:durableId="1761559293">
    <w:abstractNumId w:val="1"/>
  </w:num>
  <w:num w:numId="4" w16cid:durableId="1221480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hyphenationZone w:val="425"/>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E89"/>
    <w:rsid w:val="000173A6"/>
    <w:rsid w:val="000419A4"/>
    <w:rsid w:val="00044C27"/>
    <w:rsid w:val="00063F91"/>
    <w:rsid w:val="00077CE1"/>
    <w:rsid w:val="000A5B2F"/>
    <w:rsid w:val="000A60C7"/>
    <w:rsid w:val="000C14AC"/>
    <w:rsid w:val="00107FA9"/>
    <w:rsid w:val="00111B99"/>
    <w:rsid w:val="001711A7"/>
    <w:rsid w:val="00180CE1"/>
    <w:rsid w:val="00181435"/>
    <w:rsid w:val="00185C87"/>
    <w:rsid w:val="001D1CED"/>
    <w:rsid w:val="001D4756"/>
    <w:rsid w:val="001E5479"/>
    <w:rsid w:val="0020217D"/>
    <w:rsid w:val="0022225F"/>
    <w:rsid w:val="00250909"/>
    <w:rsid w:val="0025186D"/>
    <w:rsid w:val="00297DEB"/>
    <w:rsid w:val="002A0B8B"/>
    <w:rsid w:val="002A46CC"/>
    <w:rsid w:val="002D0A6B"/>
    <w:rsid w:val="002D33B2"/>
    <w:rsid w:val="002D6575"/>
    <w:rsid w:val="002E38A1"/>
    <w:rsid w:val="002F15A9"/>
    <w:rsid w:val="003148E5"/>
    <w:rsid w:val="003301AC"/>
    <w:rsid w:val="00335D19"/>
    <w:rsid w:val="00337850"/>
    <w:rsid w:val="00351950"/>
    <w:rsid w:val="00353AE5"/>
    <w:rsid w:val="00373E2A"/>
    <w:rsid w:val="0038781E"/>
    <w:rsid w:val="00387E2D"/>
    <w:rsid w:val="003956A1"/>
    <w:rsid w:val="003F4257"/>
    <w:rsid w:val="003F69B7"/>
    <w:rsid w:val="0041479A"/>
    <w:rsid w:val="00437021"/>
    <w:rsid w:val="00481E51"/>
    <w:rsid w:val="00483AB1"/>
    <w:rsid w:val="004B64E2"/>
    <w:rsid w:val="004C4ADC"/>
    <w:rsid w:val="004C5D9D"/>
    <w:rsid w:val="004D2A96"/>
    <w:rsid w:val="004D7378"/>
    <w:rsid w:val="004E5F35"/>
    <w:rsid w:val="004F7C69"/>
    <w:rsid w:val="00505F95"/>
    <w:rsid w:val="005348E4"/>
    <w:rsid w:val="00573C02"/>
    <w:rsid w:val="0059785E"/>
    <w:rsid w:val="005D245B"/>
    <w:rsid w:val="00622ED6"/>
    <w:rsid w:val="0064696D"/>
    <w:rsid w:val="006510DE"/>
    <w:rsid w:val="00661CB1"/>
    <w:rsid w:val="00663FF6"/>
    <w:rsid w:val="00670214"/>
    <w:rsid w:val="00674901"/>
    <w:rsid w:val="00682431"/>
    <w:rsid w:val="006879F3"/>
    <w:rsid w:val="006960EF"/>
    <w:rsid w:val="006B13B0"/>
    <w:rsid w:val="006D45EA"/>
    <w:rsid w:val="006E20B3"/>
    <w:rsid w:val="006E7214"/>
    <w:rsid w:val="006F1752"/>
    <w:rsid w:val="00703E2F"/>
    <w:rsid w:val="00712E6F"/>
    <w:rsid w:val="0073384C"/>
    <w:rsid w:val="007547E0"/>
    <w:rsid w:val="00756285"/>
    <w:rsid w:val="00771312"/>
    <w:rsid w:val="0078440A"/>
    <w:rsid w:val="00784A65"/>
    <w:rsid w:val="00796153"/>
    <w:rsid w:val="007A1C9C"/>
    <w:rsid w:val="007A59B6"/>
    <w:rsid w:val="007B1D0D"/>
    <w:rsid w:val="00802BBA"/>
    <w:rsid w:val="00844179"/>
    <w:rsid w:val="008703EA"/>
    <w:rsid w:val="008835B6"/>
    <w:rsid w:val="008B5DC5"/>
    <w:rsid w:val="008E625A"/>
    <w:rsid w:val="00901C3E"/>
    <w:rsid w:val="009064AA"/>
    <w:rsid w:val="0096646F"/>
    <w:rsid w:val="00973633"/>
    <w:rsid w:val="009D102A"/>
    <w:rsid w:val="009D4113"/>
    <w:rsid w:val="009E64C0"/>
    <w:rsid w:val="00A17E89"/>
    <w:rsid w:val="00A321BE"/>
    <w:rsid w:val="00A379BB"/>
    <w:rsid w:val="00A419FB"/>
    <w:rsid w:val="00A62AD5"/>
    <w:rsid w:val="00A72148"/>
    <w:rsid w:val="00AA783D"/>
    <w:rsid w:val="00B038A3"/>
    <w:rsid w:val="00B5393F"/>
    <w:rsid w:val="00B63BB1"/>
    <w:rsid w:val="00B801A0"/>
    <w:rsid w:val="00B827A2"/>
    <w:rsid w:val="00BC0D0F"/>
    <w:rsid w:val="00BC4537"/>
    <w:rsid w:val="00BC5A24"/>
    <w:rsid w:val="00BE6124"/>
    <w:rsid w:val="00C07A05"/>
    <w:rsid w:val="00C14F99"/>
    <w:rsid w:val="00C41082"/>
    <w:rsid w:val="00C8742B"/>
    <w:rsid w:val="00CA40C0"/>
    <w:rsid w:val="00CB4F4F"/>
    <w:rsid w:val="00CD659D"/>
    <w:rsid w:val="00CE6A28"/>
    <w:rsid w:val="00D32F38"/>
    <w:rsid w:val="00D4323A"/>
    <w:rsid w:val="00D647FE"/>
    <w:rsid w:val="00D9550A"/>
    <w:rsid w:val="00DA558B"/>
    <w:rsid w:val="00DB19FC"/>
    <w:rsid w:val="00DB56D6"/>
    <w:rsid w:val="00E36423"/>
    <w:rsid w:val="00E45157"/>
    <w:rsid w:val="00E61D8E"/>
    <w:rsid w:val="00E72F37"/>
    <w:rsid w:val="00EC4E10"/>
    <w:rsid w:val="00ED25E3"/>
    <w:rsid w:val="00F07F05"/>
    <w:rsid w:val="00F15235"/>
    <w:rsid w:val="00F241A0"/>
    <w:rsid w:val="00F508C2"/>
    <w:rsid w:val="00F54EC4"/>
    <w:rsid w:val="00F61FB5"/>
    <w:rsid w:val="00F85E97"/>
    <w:rsid w:val="00F87F3D"/>
    <w:rsid w:val="00F90546"/>
    <w:rsid w:val="00FA453F"/>
    <w:rsid w:val="00FB30C4"/>
    <w:rsid w:val="00FC5B51"/>
    <w:rsid w:val="00FF0DF8"/>
    <w:rsid w:val="00FF4D4B"/>
    <w:rsid w:val="00FF7F2A"/>
    <w:rsid w:val="0242D185"/>
    <w:rsid w:val="0287E6CD"/>
    <w:rsid w:val="02B99A7C"/>
    <w:rsid w:val="09A8401F"/>
    <w:rsid w:val="0BEEDE4D"/>
    <w:rsid w:val="0CF8CBB0"/>
    <w:rsid w:val="0D041171"/>
    <w:rsid w:val="10A8C634"/>
    <w:rsid w:val="16DC0173"/>
    <w:rsid w:val="2ECA839E"/>
    <w:rsid w:val="321E0D92"/>
    <w:rsid w:val="3669AF66"/>
    <w:rsid w:val="36820C7C"/>
    <w:rsid w:val="3FE0E82E"/>
    <w:rsid w:val="42DF476F"/>
    <w:rsid w:val="4D00D9A8"/>
    <w:rsid w:val="4F519399"/>
    <w:rsid w:val="52F1D2E1"/>
    <w:rsid w:val="5BA07A65"/>
    <w:rsid w:val="5F141D5E"/>
    <w:rsid w:val="61CD13E4"/>
    <w:rsid w:val="6F78E147"/>
    <w:rsid w:val="763D6144"/>
    <w:rsid w:val="7765D381"/>
    <w:rsid w:val="77CC501C"/>
    <w:rsid w:val="7A25B59D"/>
    <w:rsid w:val="7FFED23B"/>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78AA1E"/>
  <w14:defaultImageDpi w14:val="32767"/>
  <w15:chartTrackingRefBased/>
  <w15:docId w15:val="{213567EA-8FE5-4532-8CBA-F5F208DD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Pr>
      <w:sz w:val="24"/>
      <w:szCs w:val="24"/>
    </w:rPr>
  </w:style>
  <w:style w:type="paragraph" w:styleId="Heading5">
    <w:name w:val="heading 5"/>
    <w:basedOn w:val="Normal"/>
    <w:next w:val="Normal"/>
    <w:link w:val="Heading5Char"/>
    <w:uiPriority w:val="9"/>
    <w:unhideWhenUsed/>
    <w:qFormat/>
    <w:pPr>
      <w:keepNext/>
      <w:keepLines/>
      <w:spacing w:before="4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rPr>
      <w:color w:val="60642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FooterChar" w:customStyle="1">
    <w:name w:val="Footer Char"/>
    <w:basedOn w:val="DefaultParagraphFont"/>
    <w:link w:val="Footer"/>
    <w:uiPriority w:val="99"/>
    <w:rsid w:val="00F61FB5"/>
    <w:rPr>
      <w:sz w:val="24"/>
      <w:szCs w:val="24"/>
    </w:rPr>
  </w:style>
  <w:style w:type="paragraph" w:styleId="NoSpacing">
    <w:name w:val="No Spacing"/>
    <w:uiPriority w:val="1"/>
    <w:qFormat/>
    <w:rsid w:val="00F61FB5"/>
    <w:rPr>
      <w:rFonts w:asciiTheme="minorHAnsi" w:hAnsiTheme="minorHAnsi" w:eastAsiaTheme="minorEastAsia" w:cstheme="minorBidi"/>
      <w:sz w:val="22"/>
      <w:szCs w:val="22"/>
      <w:lang w:eastAsia="zh-CN"/>
    </w:rPr>
  </w:style>
  <w:style w:type="paragraph" w:styleId="BodyText">
    <w:name w:val="Body Text"/>
    <w:basedOn w:val="Normal"/>
    <w:link w:val="BodyTextChar"/>
    <w:rsid w:val="007547E0"/>
    <w:pPr>
      <w:spacing w:after="240"/>
      <w:ind w:left="864"/>
    </w:pPr>
    <w:rPr>
      <w:rFonts w:ascii="Calibri" w:hAnsi="Calibri" w:eastAsia="Calibri"/>
      <w:sz w:val="22"/>
      <w:szCs w:val="22"/>
    </w:rPr>
  </w:style>
  <w:style w:type="character" w:styleId="BodyTextChar" w:customStyle="1">
    <w:name w:val="Body Text Char"/>
    <w:basedOn w:val="DefaultParagraphFont"/>
    <w:link w:val="BodyText"/>
    <w:rsid w:val="007547E0"/>
    <w:rPr>
      <w:rFonts w:ascii="Calibri" w:hAnsi="Calibri" w:eastAsia="Calibri"/>
      <w:sz w:val="22"/>
      <w:szCs w:val="22"/>
    </w:rPr>
  </w:style>
  <w:style w:type="character" w:styleId="Emphasis">
    <w:name w:val="Emphasis"/>
    <w:qFormat/>
    <w:rsid w:val="007547E0"/>
    <w:rPr>
      <w:b/>
      <w:i/>
    </w:rPr>
  </w:style>
  <w:style w:type="paragraph" w:styleId="TITLECAPS" w:customStyle="1">
    <w:name w:val="TITLE CAPS"/>
    <w:basedOn w:val="Normal"/>
    <w:next w:val="BodyText"/>
    <w:link w:val="TITLECAPSChar"/>
    <w:rsid w:val="007547E0"/>
    <w:pPr>
      <w:spacing w:after="240"/>
    </w:pPr>
    <w:rPr>
      <w:rFonts w:ascii="Cambria" w:hAnsi="Cambria" w:eastAsia="Calibri"/>
      <w:b/>
      <w:color w:val="1F497D"/>
      <w:sz w:val="32"/>
      <w:szCs w:val="32"/>
    </w:rPr>
  </w:style>
  <w:style w:type="character" w:styleId="TITLECAPSChar" w:customStyle="1">
    <w:name w:val="TITLE CAPS Char"/>
    <w:basedOn w:val="DefaultParagraphFont"/>
    <w:link w:val="TITLECAPS"/>
    <w:rsid w:val="007547E0"/>
    <w:rPr>
      <w:rFonts w:ascii="Cambria" w:hAnsi="Cambria" w:eastAsia="Calibri"/>
      <w:b/>
      <w:color w:val="1F497D"/>
      <w:sz w:val="32"/>
      <w:szCs w:val="32"/>
    </w:rPr>
  </w:style>
  <w:style w:type="paragraph" w:styleId="OutlineL1" w:customStyle="1">
    <w:name w:val="Outline_L1"/>
    <w:basedOn w:val="Normal"/>
    <w:next w:val="BodyText"/>
    <w:link w:val="OutlineL1Char"/>
    <w:rsid w:val="007547E0"/>
    <w:pPr>
      <w:numPr>
        <w:numId w:val="1"/>
      </w:numPr>
      <w:spacing w:after="240"/>
      <w:outlineLvl w:val="0"/>
    </w:pPr>
    <w:rPr>
      <w:rFonts w:ascii="Calibri" w:hAnsi="Calibri"/>
      <w:sz w:val="22"/>
      <w:szCs w:val="20"/>
    </w:rPr>
  </w:style>
  <w:style w:type="character" w:styleId="OutlineL1Char" w:customStyle="1">
    <w:name w:val="Outline_L1 Char"/>
    <w:basedOn w:val="DefaultParagraphFont"/>
    <w:link w:val="OutlineL1"/>
    <w:rsid w:val="007547E0"/>
    <w:rPr>
      <w:rFonts w:ascii="Calibri" w:hAnsi="Calibri"/>
      <w:sz w:val="22"/>
    </w:rPr>
  </w:style>
  <w:style w:type="paragraph" w:styleId="OutlineL2" w:customStyle="1">
    <w:name w:val="Outline_L2"/>
    <w:basedOn w:val="OutlineL1"/>
    <w:next w:val="BodyText"/>
    <w:rsid w:val="007547E0"/>
    <w:pPr>
      <w:numPr>
        <w:ilvl w:val="1"/>
      </w:numPr>
      <w:outlineLvl w:val="1"/>
    </w:pPr>
  </w:style>
  <w:style w:type="paragraph" w:styleId="OutlineL3" w:customStyle="1">
    <w:name w:val="Outline_L3"/>
    <w:basedOn w:val="OutlineL2"/>
    <w:next w:val="BodyText"/>
    <w:rsid w:val="007547E0"/>
    <w:pPr>
      <w:numPr>
        <w:ilvl w:val="2"/>
      </w:numPr>
      <w:outlineLvl w:val="2"/>
    </w:pPr>
    <w:rPr>
      <w:rFonts w:ascii="Times New Roman" w:hAnsi="Times New Roman"/>
      <w:sz w:val="24"/>
    </w:rPr>
  </w:style>
  <w:style w:type="paragraph" w:styleId="OutlineL4" w:customStyle="1">
    <w:name w:val="Outline_L4"/>
    <w:basedOn w:val="OutlineL3"/>
    <w:next w:val="BodyText"/>
    <w:rsid w:val="007547E0"/>
    <w:pPr>
      <w:numPr>
        <w:ilvl w:val="3"/>
      </w:numPr>
      <w:outlineLvl w:val="3"/>
    </w:pPr>
  </w:style>
  <w:style w:type="paragraph" w:styleId="OutlineL5" w:customStyle="1">
    <w:name w:val="Outline_L5"/>
    <w:basedOn w:val="OutlineL4"/>
    <w:next w:val="BodyText"/>
    <w:rsid w:val="007547E0"/>
    <w:pPr>
      <w:numPr>
        <w:ilvl w:val="4"/>
      </w:numPr>
      <w:outlineLvl w:val="4"/>
    </w:pPr>
  </w:style>
  <w:style w:type="paragraph" w:styleId="OutlineL6" w:customStyle="1">
    <w:name w:val="Outline_L6"/>
    <w:basedOn w:val="OutlineL5"/>
    <w:next w:val="BodyText"/>
    <w:rsid w:val="007547E0"/>
    <w:pPr>
      <w:numPr>
        <w:ilvl w:val="5"/>
      </w:numPr>
      <w:outlineLvl w:val="5"/>
    </w:pPr>
  </w:style>
  <w:style w:type="paragraph" w:styleId="OutlineL7" w:customStyle="1">
    <w:name w:val="Outline_L7"/>
    <w:basedOn w:val="OutlineL6"/>
    <w:next w:val="BodyText"/>
    <w:rsid w:val="007547E0"/>
    <w:pPr>
      <w:numPr>
        <w:ilvl w:val="6"/>
      </w:numPr>
      <w:outlineLvl w:val="6"/>
    </w:pPr>
  </w:style>
  <w:style w:type="paragraph" w:styleId="OutlineL8" w:customStyle="1">
    <w:name w:val="Outline_L8"/>
    <w:basedOn w:val="OutlineL7"/>
    <w:next w:val="BodyText"/>
    <w:rsid w:val="007547E0"/>
    <w:pPr>
      <w:numPr>
        <w:ilvl w:val="7"/>
      </w:numPr>
      <w:outlineLvl w:val="7"/>
    </w:pPr>
  </w:style>
  <w:style w:type="paragraph" w:styleId="OutlineL9" w:customStyle="1">
    <w:name w:val="Outline_L9"/>
    <w:basedOn w:val="OutlineL8"/>
    <w:next w:val="BodyText"/>
    <w:link w:val="OutlineL9Char"/>
    <w:rsid w:val="007547E0"/>
    <w:pPr>
      <w:numPr>
        <w:ilvl w:val="8"/>
      </w:numPr>
      <w:outlineLvl w:val="8"/>
    </w:pPr>
  </w:style>
  <w:style w:type="character" w:styleId="OutlineL9Char" w:customStyle="1">
    <w:name w:val="Outline_L9 Char"/>
    <w:basedOn w:val="DefaultParagraphFont"/>
    <w:link w:val="OutlineL9"/>
    <w:rsid w:val="007547E0"/>
    <w:rPr>
      <w:sz w:val="24"/>
    </w:rPr>
  </w:style>
  <w:style w:type="table" w:styleId="TableGrid">
    <w:name w:val="Table Grid"/>
    <w:basedOn w:val="TableNormal"/>
    <w:rsid w:val="007547E0"/>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5Char" w:customStyle="1">
    <w:name w:val="Heading 5 Char"/>
    <w:basedOn w:val="DefaultParagraphFont"/>
    <w:link w:val="Heading5"/>
    <w:uiPriority w:val="9"/>
    <w:rPr>
      <w:rFonts w:asciiTheme="majorHAnsi" w:hAnsiTheme="majorHAnsi" w:eastAsiaTheme="majorEastAsia" w:cstheme="majorBidi"/>
      <w:color w:val="2E74B5" w:themeColor="accent1" w:themeShade="BF"/>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4696D"/>
    <w:rPr>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430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&#65279;<?xml version="1.0" encoding="utf-8"?><Relationships xmlns="http://schemas.openxmlformats.org/package/2006/relationships"><Relationship Type="http://schemas.openxmlformats.org/officeDocument/2006/relationships/hyperlink" Target="mailto:sales.de@fluke.com" TargetMode="External" Id="R94f599c0dd9c4e0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90EF054F279142B43F5B16AF10AC01" ma:contentTypeVersion="19" ma:contentTypeDescription="Create a new document." ma:contentTypeScope="" ma:versionID="e5dba75fbd610b2ab2e4f234a1ad6628">
  <xsd:schema xmlns:xsd="http://www.w3.org/2001/XMLSchema" xmlns:xs="http://www.w3.org/2001/XMLSchema" xmlns:p="http://schemas.microsoft.com/office/2006/metadata/properties" xmlns:ns2="f4075f7d-7c78-4c98-9eb0-c3d5a77b05ff" xmlns:ns3="b1185835-2c15-4200-a4aa-aac8a465b01e" targetNamespace="http://schemas.microsoft.com/office/2006/metadata/properties" ma:root="true" ma:fieldsID="cbcdffd467ab696c96837e019e2eaa72" ns2:_="" ns3:_="">
    <xsd:import namespace="f4075f7d-7c78-4c98-9eb0-c3d5a77b05ff"/>
    <xsd:import namespace="b1185835-2c15-4200-a4aa-aac8a465b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75f7d-7c78-4c98-9eb0-c3d5a77b0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185835-2c15-4200-a4aa-aac8a465b01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bd2deb-db65-4a4a-a248-c4a236620e94}" ma:internalName="TaxCatchAll" ma:showField="CatchAllData" ma:web="b1185835-2c15-4200-a4aa-aac8a465b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185835-2c15-4200-a4aa-aac8a465b01e" xsi:nil="true"/>
    <lcf76f155ced4ddcb4097134ff3c332f xmlns="f4075f7d-7c78-4c98-9eb0-c3d5a77b05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90F375-99A9-47DC-96B2-071E783BC173}">
  <ds:schemaRefs>
    <ds:schemaRef ds:uri="http://schemas.microsoft.com/sharepoint/v3/contenttype/forms"/>
  </ds:schemaRefs>
</ds:datastoreItem>
</file>

<file path=customXml/itemProps2.xml><?xml version="1.0" encoding="utf-8"?>
<ds:datastoreItem xmlns:ds="http://schemas.openxmlformats.org/officeDocument/2006/customXml" ds:itemID="{58524BB6-EE4B-43A1-8DC6-99D85045D291}"/>
</file>

<file path=customXml/itemProps3.xml><?xml version="1.0" encoding="utf-8"?>
<ds:datastoreItem xmlns:ds="http://schemas.openxmlformats.org/officeDocument/2006/customXml" ds:itemID="{64468966-8705-412A-A33B-198CF573AA21}">
  <ds:schemaRefs>
    <ds:schemaRef ds:uri="http://schemas.microsoft.com/office/2006/metadata/properties"/>
    <ds:schemaRef ds:uri="http://schemas.microsoft.com/office/infopath/2007/PartnerControls"/>
    <ds:schemaRef ds:uri="1b3affd2-6004-4aab-9ffe-d3ee9b44cf9b"/>
    <ds:schemaRef ds:uri="89fe8945-c2ea-48b2-bc70-b516dce06a71"/>
  </ds:schemaRefs>
</ds:datastoreItem>
</file>

<file path=docMetadata/LabelInfo.xml><?xml version="1.0" encoding="utf-8"?>
<clbl:labelList xmlns:clbl="http://schemas.microsoft.com/office/2020/mipLabelMetadata">
  <clbl:label id="{0f634ac3-b39f-41a6-83ba-8f107876c692}" enabled="0" method="" siteId="{0f634ac3-b39f-41a6-83ba-8f107876c69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Fluke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Marinko, Elena</cp:lastModifiedBy>
  <cp:revision>15</cp:revision>
  <cp:lastPrinted>2025-08-12T10:05:00Z</cp:lastPrinted>
  <dcterms:created xsi:type="dcterms:W3CDTF">2026-07-23T15:43:00Z</dcterms:created>
  <dcterms:modified xsi:type="dcterms:W3CDTF">2026-08-20T14:58:55Z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0x0101006390EF054F279142B43F5B16AF10AC01</vt:lpwstr>
  </property>
  <property fmtid="{D5CDD505-2E9C-101B-9397-08002B2CF9AE}" pid="3" name="Order">
    <vt:r8>7166200</vt:r8>
  </property>
  <property fmtid="{D5CDD505-2E9C-101B-9397-08002B2CF9AE}" pid="4" name="MediaServiceImageTags">
    <vt:lpwstr/>
  </property>
</Properties>
</file>